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97" w:rsidRPr="00D51FA6" w:rsidRDefault="00BB7728" w:rsidP="007E15FB">
      <w:pPr>
        <w:suppressAutoHyphens w:val="0"/>
        <w:spacing w:before="0" w:after="0"/>
        <w:jc w:val="left"/>
        <w:rPr>
          <w:rFonts w:asciiTheme="minorHAnsi" w:hAnsiTheme="minorHAnsi" w:cstheme="minorHAnsi"/>
          <w:sz w:val="20"/>
        </w:rPr>
      </w:pPr>
      <w:r w:rsidRPr="00D51FA6">
        <w:rPr>
          <w:rFonts w:asciiTheme="minorHAnsi" w:hAnsiTheme="minorHAnsi" w:cstheme="minorHAnsi"/>
          <w:b/>
          <w:noProof/>
          <w:sz w:val="20"/>
          <w:lang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576800" cy="1058400"/>
            <wp:effectExtent l="0" t="0" r="4445" b="8890"/>
            <wp:wrapTight wrapText="bothSides">
              <wp:wrapPolygon edited="0">
                <wp:start x="3915" y="0"/>
                <wp:lineTo x="4437" y="6223"/>
                <wp:lineTo x="6263" y="12447"/>
                <wp:lineTo x="0" y="13613"/>
                <wp:lineTo x="0" y="17503"/>
                <wp:lineTo x="2349" y="19448"/>
                <wp:lineTo x="5741" y="21393"/>
                <wp:lineTo x="6785" y="21393"/>
                <wp:lineTo x="14615" y="21393"/>
                <wp:lineTo x="15919" y="21393"/>
                <wp:lineTo x="19312" y="19448"/>
                <wp:lineTo x="21400" y="17503"/>
                <wp:lineTo x="21400" y="13613"/>
                <wp:lineTo x="15398" y="12447"/>
                <wp:lineTo x="16963" y="6223"/>
                <wp:lineTo x="17485" y="0"/>
                <wp:lineTo x="39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800" cy="1058400"/>
                    </a:xfrm>
                    <a:prstGeom prst="rect">
                      <a:avLst/>
                    </a:prstGeom>
                  </pic:spPr>
                </pic:pic>
              </a:graphicData>
            </a:graphic>
            <wp14:sizeRelH relativeFrom="margin">
              <wp14:pctWidth>0</wp14:pctWidth>
            </wp14:sizeRelH>
            <wp14:sizeRelV relativeFrom="margin">
              <wp14:pctHeight>0</wp14:pctHeight>
            </wp14:sizeRelV>
          </wp:anchor>
        </w:drawing>
      </w: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BB7728" w:rsidRDefault="00BB7728" w:rsidP="007E15FB">
      <w:pPr>
        <w:spacing w:before="0" w:after="0"/>
        <w:jc w:val="left"/>
        <w:rPr>
          <w:rFonts w:asciiTheme="minorHAnsi" w:hAnsiTheme="minorHAnsi" w:cstheme="minorHAnsi"/>
          <w:sz w:val="20"/>
        </w:rPr>
      </w:pPr>
    </w:p>
    <w:p w:rsidR="00222B97" w:rsidRPr="00BB7728" w:rsidRDefault="00222B97" w:rsidP="00BB7728">
      <w:pPr>
        <w:spacing w:before="0" w:after="0"/>
        <w:jc w:val="center"/>
        <w:rPr>
          <w:rFonts w:asciiTheme="minorHAnsi" w:hAnsiTheme="minorHAnsi" w:cstheme="minorHAnsi"/>
          <w:sz w:val="32"/>
          <w:szCs w:val="32"/>
        </w:rPr>
      </w:pPr>
      <w:r w:rsidRPr="00BB7728">
        <w:rPr>
          <w:rFonts w:asciiTheme="minorHAnsi" w:hAnsiTheme="minorHAnsi" w:cstheme="minorHAnsi"/>
          <w:sz w:val="32"/>
          <w:szCs w:val="32"/>
        </w:rPr>
        <w:t>Whitehill Junior School</w:t>
      </w:r>
    </w:p>
    <w:p w:rsidR="00222B97" w:rsidRPr="00BB7728" w:rsidRDefault="00222B97" w:rsidP="00BB7728">
      <w:pPr>
        <w:spacing w:before="0" w:after="0"/>
        <w:jc w:val="center"/>
        <w:rPr>
          <w:rFonts w:asciiTheme="minorHAnsi" w:hAnsiTheme="minorHAnsi" w:cstheme="minorHAnsi"/>
          <w:sz w:val="32"/>
          <w:szCs w:val="32"/>
        </w:rPr>
      </w:pPr>
    </w:p>
    <w:p w:rsidR="00222B97" w:rsidRPr="00BB7728" w:rsidRDefault="00222B97" w:rsidP="00BB7728">
      <w:pPr>
        <w:spacing w:before="0" w:after="0"/>
        <w:jc w:val="center"/>
        <w:rPr>
          <w:rFonts w:asciiTheme="minorHAnsi" w:hAnsiTheme="minorHAnsi" w:cstheme="minorHAnsi"/>
          <w:b/>
          <w:sz w:val="32"/>
          <w:szCs w:val="32"/>
        </w:rPr>
      </w:pPr>
      <w:r w:rsidRPr="00BB7728">
        <w:rPr>
          <w:rFonts w:asciiTheme="minorHAnsi" w:hAnsiTheme="minorHAnsi" w:cstheme="minorHAnsi"/>
          <w:b/>
          <w:sz w:val="32"/>
          <w:szCs w:val="32"/>
        </w:rPr>
        <w:t>Data Protection</w:t>
      </w:r>
      <w:r w:rsidR="00BB7728" w:rsidRPr="00BB7728">
        <w:rPr>
          <w:rFonts w:asciiTheme="minorHAnsi" w:hAnsiTheme="minorHAnsi" w:cstheme="minorHAnsi"/>
          <w:b/>
          <w:sz w:val="32"/>
          <w:szCs w:val="32"/>
        </w:rPr>
        <w:t xml:space="preserve"> </w:t>
      </w:r>
      <w:r w:rsidRPr="00BB7728">
        <w:rPr>
          <w:rFonts w:asciiTheme="minorHAnsi" w:hAnsiTheme="minorHAnsi" w:cstheme="minorHAnsi"/>
          <w:b/>
          <w:sz w:val="32"/>
          <w:szCs w:val="32"/>
        </w:rPr>
        <w:t>Policy</w:t>
      </w:r>
    </w:p>
    <w:p w:rsidR="00222B97" w:rsidRPr="00D51FA6" w:rsidRDefault="00222B97" w:rsidP="007E15FB">
      <w:pPr>
        <w:spacing w:before="0" w:after="0"/>
        <w:jc w:val="left"/>
        <w:rPr>
          <w:rFonts w:asciiTheme="minorHAnsi" w:hAnsiTheme="minorHAnsi" w:cstheme="minorHAnsi"/>
          <w:b/>
          <w:sz w:val="20"/>
        </w:rPr>
      </w:pPr>
    </w:p>
    <w:p w:rsidR="00222B97" w:rsidRPr="00D51FA6" w:rsidRDefault="00222B97" w:rsidP="007E15FB">
      <w:pPr>
        <w:spacing w:before="0" w:after="0"/>
        <w:jc w:val="left"/>
        <w:rPr>
          <w:rFonts w:asciiTheme="minorHAnsi" w:hAnsiTheme="minorHAnsi" w:cstheme="minorHAnsi"/>
          <w:b/>
          <w:sz w:val="20"/>
        </w:rPr>
      </w:pPr>
    </w:p>
    <w:p w:rsidR="00222B97" w:rsidRPr="00D51FA6" w:rsidRDefault="00222B97" w:rsidP="007E15FB">
      <w:pPr>
        <w:spacing w:before="0" w:after="0"/>
        <w:jc w:val="left"/>
        <w:rPr>
          <w:rFonts w:asciiTheme="minorHAnsi" w:hAnsiTheme="minorHAnsi" w:cstheme="minorHAnsi"/>
          <w:b/>
          <w:sz w:val="20"/>
        </w:rPr>
      </w:pPr>
    </w:p>
    <w:p w:rsidR="00BB7728" w:rsidRDefault="00BB7728" w:rsidP="007E15FB">
      <w:pPr>
        <w:spacing w:before="0" w:after="0"/>
        <w:jc w:val="left"/>
        <w:rPr>
          <w:rFonts w:asciiTheme="minorHAnsi" w:hAnsiTheme="minorHAnsi" w:cstheme="minorHAnsi"/>
          <w:b/>
          <w:sz w:val="20"/>
        </w:rPr>
      </w:pPr>
    </w:p>
    <w:p w:rsidR="00BB7728" w:rsidRDefault="00BB7728" w:rsidP="007E15FB">
      <w:pPr>
        <w:spacing w:before="0" w:after="0"/>
        <w:jc w:val="left"/>
        <w:rPr>
          <w:rFonts w:asciiTheme="minorHAnsi" w:hAnsiTheme="minorHAnsi" w:cstheme="minorHAnsi"/>
          <w:b/>
          <w:sz w:val="20"/>
        </w:rPr>
      </w:pPr>
    </w:p>
    <w:p w:rsidR="00BB7728" w:rsidRDefault="00BB7728" w:rsidP="007E15FB">
      <w:pPr>
        <w:spacing w:before="0" w:after="0"/>
        <w:jc w:val="left"/>
        <w:rPr>
          <w:rFonts w:asciiTheme="minorHAnsi" w:hAnsiTheme="minorHAnsi" w:cstheme="minorHAnsi"/>
          <w:b/>
          <w:sz w:val="20"/>
        </w:rPr>
      </w:pPr>
    </w:p>
    <w:p w:rsidR="00222B97" w:rsidRPr="00D51FA6" w:rsidRDefault="00222B97" w:rsidP="007E15FB">
      <w:pPr>
        <w:spacing w:before="0" w:after="0"/>
        <w:jc w:val="left"/>
        <w:rPr>
          <w:rFonts w:asciiTheme="minorHAnsi" w:hAnsiTheme="minorHAnsi" w:cstheme="minorHAnsi"/>
          <w:b/>
          <w:sz w:val="20"/>
        </w:rPr>
      </w:pPr>
      <w:r w:rsidRPr="00D51FA6">
        <w:rPr>
          <w:rFonts w:asciiTheme="minorHAnsi" w:hAnsiTheme="minorHAnsi" w:cstheme="minorHAnsi"/>
          <w:b/>
          <w:sz w:val="20"/>
        </w:rPr>
        <w:t>Policy Review</w:t>
      </w:r>
    </w:p>
    <w:p w:rsidR="00222B97" w:rsidRPr="00D51FA6" w:rsidRDefault="00222B97" w:rsidP="007E15FB">
      <w:pPr>
        <w:spacing w:before="0" w:after="0"/>
        <w:jc w:val="left"/>
        <w:rPr>
          <w:rFonts w:asciiTheme="minorHAnsi" w:hAnsiTheme="minorHAnsi" w:cstheme="minorHAnsi"/>
          <w:b/>
          <w:sz w:val="20"/>
          <w:u w:val="single"/>
        </w:rPr>
      </w:pPr>
    </w:p>
    <w:p w:rsidR="00222B97" w:rsidRPr="00D51FA6" w:rsidRDefault="00222B97" w:rsidP="007E15FB">
      <w:pPr>
        <w:spacing w:before="0" w:after="0"/>
        <w:jc w:val="left"/>
        <w:rPr>
          <w:rFonts w:asciiTheme="minorHAnsi" w:hAnsiTheme="minorHAnsi" w:cstheme="minorHAnsi"/>
          <w:sz w:val="20"/>
        </w:rPr>
      </w:pPr>
      <w:r w:rsidRPr="00D51FA6">
        <w:rPr>
          <w:rFonts w:asciiTheme="minorHAnsi" w:hAnsiTheme="minorHAnsi" w:cstheme="minorHAnsi"/>
          <w:sz w:val="20"/>
        </w:rPr>
        <w:t xml:space="preserve">This policy will be reviewed in full by the Governing Body every </w:t>
      </w:r>
      <w:r w:rsidR="00400C3F" w:rsidRPr="00D51FA6">
        <w:rPr>
          <w:rFonts w:asciiTheme="minorHAnsi" w:hAnsiTheme="minorHAnsi" w:cstheme="minorHAnsi"/>
          <w:sz w:val="20"/>
        </w:rPr>
        <w:t>two</w:t>
      </w:r>
      <w:r w:rsidRPr="00D51FA6">
        <w:rPr>
          <w:rFonts w:asciiTheme="minorHAnsi" w:hAnsiTheme="minorHAnsi" w:cstheme="minorHAnsi"/>
          <w:sz w:val="20"/>
        </w:rPr>
        <w:t xml:space="preserve"> years (Or sooner if significant changes to governing body.</w:t>
      </w: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r w:rsidRPr="00D51FA6">
        <w:rPr>
          <w:rFonts w:asciiTheme="minorHAnsi" w:hAnsiTheme="minorHAnsi" w:cstheme="minorHAnsi"/>
          <w:sz w:val="20"/>
        </w:rPr>
        <w:t>The policy was last reviewed and agreed by the Governing Body on __________________.</w:t>
      </w: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r w:rsidRPr="00D51FA6">
        <w:rPr>
          <w:rFonts w:asciiTheme="minorHAnsi" w:hAnsiTheme="minorHAnsi" w:cstheme="minorHAnsi"/>
          <w:sz w:val="20"/>
        </w:rPr>
        <w:t xml:space="preserve">It is due for review on </w:t>
      </w:r>
      <w:r w:rsidRPr="00D51FA6">
        <w:rPr>
          <w:rFonts w:asciiTheme="minorHAnsi" w:hAnsiTheme="minorHAnsi" w:cstheme="minorHAnsi"/>
          <w:i/>
          <w:sz w:val="20"/>
        </w:rPr>
        <w:t>___________________</w:t>
      </w:r>
      <w:r w:rsidRPr="00D51FA6">
        <w:rPr>
          <w:rFonts w:asciiTheme="minorHAnsi" w:hAnsiTheme="minorHAnsi" w:cstheme="minorHAnsi"/>
          <w:sz w:val="20"/>
        </w:rPr>
        <w:t xml:space="preserve"> (up to </w:t>
      </w:r>
      <w:r w:rsidR="00400C3F" w:rsidRPr="00D51FA6">
        <w:rPr>
          <w:rFonts w:asciiTheme="minorHAnsi" w:hAnsiTheme="minorHAnsi" w:cstheme="minorHAnsi"/>
          <w:sz w:val="20"/>
        </w:rPr>
        <w:t>24</w:t>
      </w:r>
      <w:r w:rsidRPr="00D51FA6">
        <w:rPr>
          <w:rFonts w:asciiTheme="minorHAnsi" w:hAnsiTheme="minorHAnsi" w:cstheme="minorHAnsi"/>
          <w:sz w:val="20"/>
        </w:rPr>
        <w:t xml:space="preserve"> months from the above date).</w:t>
      </w: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r w:rsidRPr="00D51FA6">
        <w:rPr>
          <w:rFonts w:asciiTheme="minorHAnsi" w:hAnsiTheme="minorHAnsi" w:cstheme="minorHAnsi"/>
          <w:sz w:val="20"/>
        </w:rPr>
        <w:t>Signature ………………………………….</w:t>
      </w:r>
      <w:r w:rsidRPr="00D51FA6">
        <w:rPr>
          <w:rFonts w:asciiTheme="minorHAnsi" w:hAnsiTheme="minorHAnsi" w:cstheme="minorHAnsi"/>
          <w:sz w:val="20"/>
        </w:rPr>
        <w:tab/>
      </w:r>
      <w:r w:rsidRPr="00D51FA6">
        <w:rPr>
          <w:rFonts w:asciiTheme="minorHAnsi" w:hAnsiTheme="minorHAnsi" w:cstheme="minorHAnsi"/>
          <w:sz w:val="20"/>
        </w:rPr>
        <w:tab/>
        <w:t>Date ……………………</w:t>
      </w: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b/>
          <w:sz w:val="20"/>
        </w:rPr>
      </w:pPr>
      <w:r w:rsidRPr="00D51FA6">
        <w:rPr>
          <w:rFonts w:asciiTheme="minorHAnsi" w:hAnsiTheme="minorHAnsi" w:cstheme="minorHAnsi"/>
          <w:b/>
          <w:sz w:val="20"/>
        </w:rPr>
        <w:t xml:space="preserve">Head Teacher </w:t>
      </w:r>
      <w:r w:rsidRPr="00D51FA6">
        <w:rPr>
          <w:rFonts w:asciiTheme="minorHAnsi" w:hAnsiTheme="minorHAnsi" w:cstheme="minorHAnsi"/>
          <w:b/>
          <w:sz w:val="20"/>
        </w:rPr>
        <w:tab/>
      </w:r>
      <w:r w:rsidRPr="00D51FA6">
        <w:rPr>
          <w:rFonts w:asciiTheme="minorHAnsi" w:hAnsiTheme="minorHAnsi" w:cstheme="minorHAnsi"/>
          <w:b/>
          <w:sz w:val="20"/>
        </w:rPr>
        <w:tab/>
      </w:r>
      <w:r w:rsidRPr="00D51FA6">
        <w:rPr>
          <w:rFonts w:asciiTheme="minorHAnsi" w:hAnsiTheme="minorHAnsi" w:cstheme="minorHAnsi"/>
          <w:b/>
          <w:sz w:val="20"/>
        </w:rPr>
        <w:tab/>
      </w:r>
      <w:r w:rsidRPr="00D51FA6">
        <w:rPr>
          <w:rFonts w:asciiTheme="minorHAnsi" w:hAnsiTheme="minorHAnsi" w:cstheme="minorHAnsi"/>
          <w:b/>
          <w:sz w:val="20"/>
        </w:rPr>
        <w:tab/>
      </w:r>
      <w:r w:rsidRPr="00D51FA6">
        <w:rPr>
          <w:rFonts w:asciiTheme="minorHAnsi" w:hAnsiTheme="minorHAnsi" w:cstheme="minorHAnsi"/>
          <w:b/>
          <w:sz w:val="20"/>
        </w:rPr>
        <w:tab/>
      </w:r>
    </w:p>
    <w:p w:rsidR="00222B97" w:rsidRPr="00D51FA6" w:rsidRDefault="00222B97" w:rsidP="007E15FB">
      <w:pPr>
        <w:spacing w:before="0" w:after="0"/>
        <w:jc w:val="left"/>
        <w:rPr>
          <w:rFonts w:asciiTheme="minorHAnsi" w:hAnsiTheme="minorHAnsi" w:cstheme="minorHAnsi"/>
          <w:sz w:val="20"/>
        </w:rPr>
      </w:pPr>
      <w:r w:rsidRPr="00D51FA6">
        <w:rPr>
          <w:rFonts w:asciiTheme="minorHAnsi" w:hAnsiTheme="minorHAnsi" w:cstheme="minorHAnsi"/>
          <w:sz w:val="20"/>
        </w:rPr>
        <w:tab/>
      </w: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sz w:val="20"/>
        </w:rPr>
      </w:pPr>
      <w:r w:rsidRPr="00D51FA6">
        <w:rPr>
          <w:rFonts w:asciiTheme="minorHAnsi" w:hAnsiTheme="minorHAnsi" w:cstheme="minorHAnsi"/>
          <w:sz w:val="20"/>
        </w:rPr>
        <w:t>Signature ………………….……………….</w:t>
      </w:r>
      <w:r w:rsidRPr="00D51FA6">
        <w:rPr>
          <w:rFonts w:asciiTheme="minorHAnsi" w:hAnsiTheme="minorHAnsi" w:cstheme="minorHAnsi"/>
          <w:sz w:val="20"/>
        </w:rPr>
        <w:tab/>
        <w:t>Date ….…………………</w:t>
      </w:r>
    </w:p>
    <w:p w:rsidR="00222B97" w:rsidRPr="00D51FA6" w:rsidRDefault="00222B97" w:rsidP="007E15FB">
      <w:pPr>
        <w:spacing w:before="0" w:after="0"/>
        <w:jc w:val="left"/>
        <w:rPr>
          <w:rFonts w:asciiTheme="minorHAnsi" w:hAnsiTheme="minorHAnsi" w:cstheme="minorHAnsi"/>
          <w:sz w:val="20"/>
        </w:rPr>
      </w:pPr>
    </w:p>
    <w:p w:rsidR="00222B97" w:rsidRPr="00D51FA6" w:rsidRDefault="00222B97" w:rsidP="007E15FB">
      <w:pPr>
        <w:spacing w:before="0" w:after="0"/>
        <w:jc w:val="left"/>
        <w:rPr>
          <w:rFonts w:asciiTheme="minorHAnsi" w:hAnsiTheme="minorHAnsi" w:cstheme="minorHAnsi"/>
          <w:b/>
          <w:sz w:val="20"/>
        </w:rPr>
      </w:pPr>
      <w:r w:rsidRPr="00D51FA6">
        <w:rPr>
          <w:rFonts w:asciiTheme="minorHAnsi" w:hAnsiTheme="minorHAnsi" w:cstheme="minorHAnsi"/>
          <w:b/>
          <w:sz w:val="20"/>
        </w:rPr>
        <w:t>Chair of Governors</w:t>
      </w:r>
      <w:r w:rsidRPr="00D51FA6">
        <w:rPr>
          <w:rFonts w:asciiTheme="minorHAnsi" w:hAnsiTheme="minorHAnsi" w:cstheme="minorHAnsi"/>
          <w:b/>
          <w:sz w:val="20"/>
        </w:rPr>
        <w:tab/>
      </w:r>
    </w:p>
    <w:p w:rsidR="00222B97" w:rsidRPr="00D51FA6" w:rsidRDefault="00222B97" w:rsidP="007E15FB">
      <w:pPr>
        <w:spacing w:before="0" w:after="0"/>
        <w:jc w:val="left"/>
        <w:rPr>
          <w:rFonts w:asciiTheme="minorHAnsi" w:hAnsiTheme="minorHAnsi" w:cstheme="minorHAnsi"/>
          <w:sz w:val="20"/>
        </w:rPr>
      </w:pPr>
      <w:r w:rsidRPr="00D51FA6">
        <w:rPr>
          <w:rFonts w:asciiTheme="minorHAnsi" w:hAnsiTheme="minorHAnsi" w:cstheme="minorHAnsi"/>
          <w:sz w:val="20"/>
        </w:rPr>
        <w:br w:type="page"/>
      </w: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lastRenderedPageBreak/>
        <w:t>Policy statement and objectives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objectives of this Data Protection Policy are to ensure that </w:t>
      </w:r>
      <w:r w:rsidR="00222B97" w:rsidRPr="00D51FA6">
        <w:rPr>
          <w:rFonts w:asciiTheme="minorHAnsi" w:hAnsiTheme="minorHAnsi" w:cstheme="minorHAnsi"/>
          <w:sz w:val="20"/>
        </w:rPr>
        <w:t xml:space="preserve">Whitehill Junior School </w:t>
      </w:r>
      <w:r w:rsidRPr="00D51FA6">
        <w:rPr>
          <w:rFonts w:asciiTheme="minorHAnsi" w:hAnsiTheme="minorHAnsi" w:cstheme="minorHAnsi"/>
          <w:sz w:val="20"/>
        </w:rPr>
        <w:t>(t</w:t>
      </w:r>
      <w:r w:rsidR="001F40B8" w:rsidRPr="00D51FA6">
        <w:rPr>
          <w:rFonts w:asciiTheme="minorHAnsi" w:hAnsiTheme="minorHAnsi" w:cstheme="minorHAnsi"/>
          <w:sz w:val="20"/>
        </w:rPr>
        <w:t>he “</w:t>
      </w:r>
      <w:r w:rsidR="00642DAE" w:rsidRPr="00D51FA6">
        <w:rPr>
          <w:rFonts w:asciiTheme="minorHAnsi" w:hAnsiTheme="minorHAnsi" w:cstheme="minorHAnsi"/>
          <w:sz w:val="20"/>
        </w:rPr>
        <w:t>School</w:t>
      </w:r>
      <w:r w:rsidR="001F40B8" w:rsidRPr="00D51FA6">
        <w:rPr>
          <w:rFonts w:asciiTheme="minorHAnsi" w:hAnsiTheme="minorHAnsi" w:cstheme="minorHAnsi"/>
          <w:sz w:val="20"/>
        </w:rPr>
        <w:t xml:space="preserve">”) and its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and employees are informed about, and comply with, their obligations under the General Data Protection Regulation (“the GDPR”) and other data protection legislation.</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is a </w:t>
      </w:r>
      <w:r w:rsidR="00222B97" w:rsidRPr="00D51FA6">
        <w:rPr>
          <w:rFonts w:asciiTheme="minorHAnsi" w:hAnsiTheme="minorHAnsi" w:cstheme="minorHAnsi"/>
          <w:sz w:val="20"/>
        </w:rPr>
        <w:t xml:space="preserve">community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and is the Data Controller for all the Personal Data processed by </w:t>
      </w:r>
      <w:r w:rsidR="001F40B8"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Everyone has rights with regard to how their personal information is handled. During the course of our activities we will Process personal information about a number of different groups of people and we recognise that we need to treat it in an appropriate and lawful manner.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type of information that we may be required to handle include details of job applicants,  current, past and prospective employees, pupils, parents / carers and other members of pupils’ families, </w:t>
      </w:r>
      <w:r w:rsidR="00642DAE" w:rsidRPr="00D51FA6">
        <w:rPr>
          <w:rFonts w:asciiTheme="minorHAnsi" w:hAnsiTheme="minorHAnsi" w:cstheme="minorHAnsi"/>
          <w:sz w:val="20"/>
        </w:rPr>
        <w:t>governors</w:t>
      </w:r>
      <w:r w:rsidRPr="00D51FA6">
        <w:rPr>
          <w:rFonts w:asciiTheme="minorHAnsi" w:hAnsiTheme="minorHAnsi" w:cstheme="minorHAnsi"/>
          <w:sz w:val="20"/>
        </w:rPr>
        <w:t>, 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972F97"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This policy does not form part of any employee’s contract of employment and it may be amended at any time. Any breach of this policy by members of staff will be taken seriously and may result in disciplinary action and serious breaches may result in dismissal. Breach of the GDPR may expose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to enforcement action by the Information Commissioner</w:t>
      </w:r>
      <w:r w:rsidR="001F40B8" w:rsidRPr="00D51FA6">
        <w:rPr>
          <w:rFonts w:asciiTheme="minorHAnsi" w:hAnsiTheme="minorHAnsi" w:cstheme="minorHAnsi"/>
          <w:sz w:val="20"/>
        </w:rPr>
        <w:t xml:space="preserve">’s Office (ICO), including the risk of </w:t>
      </w:r>
      <w:r w:rsidRPr="00D51FA6">
        <w:rPr>
          <w:rFonts w:asciiTheme="minorHAnsi" w:hAnsiTheme="minorHAnsi" w:cstheme="minorHAnsi"/>
          <w:sz w:val="20"/>
        </w:rPr>
        <w:t xml:space="preserve">fines. Furthermore, certain breaches of the Act can give rise to personal criminal liability for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’s employees. At the very least, a breach of the GDPR could damage our reputation and have serious consequences for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and for our stakeholders.</w:t>
      </w:r>
    </w:p>
    <w:p w:rsidR="00D51FA6" w:rsidRPr="00D51FA6" w:rsidRDefault="00D51FA6" w:rsidP="007E15FB">
      <w:pPr>
        <w:pStyle w:val="AnnexureHeading2"/>
        <w:numPr>
          <w:ilvl w:val="0"/>
          <w:numId w:val="0"/>
        </w:numPr>
        <w:spacing w:before="0" w:after="0"/>
        <w:ind w:left="851"/>
        <w:jc w:val="left"/>
        <w:rPr>
          <w:rFonts w:asciiTheme="minorHAnsi" w:hAnsiTheme="minorHAnsi" w:cstheme="minorHAnsi"/>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Status of the policy</w:t>
      </w:r>
    </w:p>
    <w:p w:rsidR="00972F97" w:rsidRDefault="00972F97" w:rsidP="007E15FB">
      <w:pPr>
        <w:pStyle w:val="Heading2"/>
        <w:spacing w:before="0" w:after="0"/>
        <w:jc w:val="left"/>
        <w:rPr>
          <w:rFonts w:asciiTheme="minorHAnsi" w:hAnsiTheme="minorHAnsi" w:cstheme="minorHAnsi"/>
          <w:sz w:val="20"/>
          <w:szCs w:val="20"/>
        </w:rPr>
      </w:pPr>
      <w:r w:rsidRPr="00D51FA6">
        <w:rPr>
          <w:rFonts w:asciiTheme="minorHAnsi" w:hAnsiTheme="minorHAnsi" w:cstheme="minorHAnsi"/>
          <w:sz w:val="20"/>
          <w:szCs w:val="20"/>
        </w:rPr>
        <w:t xml:space="preserve">This policy has been approved by </w:t>
      </w:r>
      <w:r w:rsidR="00642DAE" w:rsidRPr="00D51FA6">
        <w:rPr>
          <w:rFonts w:asciiTheme="minorHAnsi" w:hAnsiTheme="minorHAnsi" w:cstheme="minorHAnsi"/>
          <w:sz w:val="20"/>
          <w:szCs w:val="20"/>
        </w:rPr>
        <w:t>the Governing Body</w:t>
      </w:r>
      <w:r w:rsidRPr="00D51FA6">
        <w:rPr>
          <w:rFonts w:asciiTheme="minorHAnsi" w:hAnsiTheme="minorHAnsi" w:cstheme="minorHAnsi"/>
          <w:sz w:val="20"/>
          <w:szCs w:val="20"/>
        </w:rPr>
        <w:t xml:space="preserve"> of the </w:t>
      </w:r>
      <w:r w:rsidR="00642DAE" w:rsidRPr="00D51FA6">
        <w:rPr>
          <w:rFonts w:asciiTheme="minorHAnsi" w:hAnsiTheme="minorHAnsi" w:cstheme="minorHAnsi"/>
          <w:sz w:val="20"/>
          <w:szCs w:val="20"/>
        </w:rPr>
        <w:t>School</w:t>
      </w:r>
      <w:r w:rsidRPr="00D51FA6">
        <w:rPr>
          <w:rFonts w:asciiTheme="minorHAnsi" w:hAnsiTheme="minorHAnsi" w:cstheme="minorHAnsi"/>
          <w:sz w:val="20"/>
          <w:szCs w:val="20"/>
        </w:rPr>
        <w:t>. It sets out our rules on data protection and the legal conditions that must be satisfied in relation to the obtaining, handling, processing, storage, transportation and destruction of personal information.</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Data Protection Officer</w:t>
      </w:r>
      <w:r w:rsidR="001F40B8" w:rsidRPr="00D51FA6">
        <w:rPr>
          <w:rStyle w:val="FootnoteReference"/>
          <w:rFonts w:asciiTheme="minorHAnsi" w:hAnsiTheme="minorHAnsi" w:cstheme="minorHAnsi"/>
          <w:b/>
          <w:sz w:val="20"/>
          <w:vertAlign w:val="superscript"/>
        </w:rPr>
        <w:footnoteReference w:id="1"/>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Data Protection Officer (the “DPO”) is responsible for ensuring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is compliant with the GDPR and with this policy. This</w:t>
      </w:r>
      <w:r w:rsidR="001F40B8" w:rsidRPr="00D51FA6">
        <w:rPr>
          <w:rFonts w:asciiTheme="minorHAnsi" w:hAnsiTheme="minorHAnsi" w:cstheme="minorHAnsi"/>
          <w:sz w:val="20"/>
        </w:rPr>
        <w:t xml:space="preserve"> post is held </w:t>
      </w:r>
      <w:r w:rsidRPr="00D51FA6">
        <w:rPr>
          <w:rFonts w:asciiTheme="minorHAnsi" w:hAnsiTheme="minorHAnsi" w:cstheme="minorHAnsi"/>
          <w:sz w:val="20"/>
        </w:rPr>
        <w:t xml:space="preserve">by </w:t>
      </w:r>
      <w:r w:rsidR="00BB7728">
        <w:rPr>
          <w:rFonts w:asciiTheme="minorHAnsi" w:hAnsiTheme="minorHAnsi" w:cstheme="minorHAnsi"/>
          <w:sz w:val="20"/>
        </w:rPr>
        <w:t>Glenn Denney</w:t>
      </w:r>
      <w:r w:rsidR="0097588B" w:rsidRPr="00D51FA6">
        <w:rPr>
          <w:rFonts w:asciiTheme="minorHAnsi" w:hAnsiTheme="minorHAnsi" w:cstheme="minorHAnsi"/>
          <w:sz w:val="20"/>
        </w:rPr>
        <w:t xml:space="preserve">, </w:t>
      </w:r>
      <w:r w:rsidR="00093DFA">
        <w:rPr>
          <w:rFonts w:asciiTheme="minorHAnsi" w:hAnsiTheme="minorHAnsi" w:cstheme="minorHAnsi"/>
          <w:sz w:val="20"/>
        </w:rPr>
        <w:t>DPO</w:t>
      </w:r>
      <w:r w:rsidR="0097588B" w:rsidRPr="00D51FA6">
        <w:rPr>
          <w:rFonts w:asciiTheme="minorHAnsi" w:hAnsiTheme="minorHAnsi" w:cstheme="minorHAnsi"/>
          <w:sz w:val="20"/>
        </w:rPr>
        <w:t>@whitehill.herts.sch.uk</w:t>
      </w:r>
      <w:r w:rsidRPr="00D51FA6">
        <w:rPr>
          <w:rFonts w:asciiTheme="minorHAnsi" w:hAnsiTheme="minorHAnsi" w:cstheme="minorHAnsi"/>
          <w:sz w:val="20"/>
        </w:rPr>
        <w:t xml:space="preserve">.  In addition, a </w:t>
      </w:r>
      <w:r w:rsidR="001F40B8" w:rsidRPr="00D51FA6">
        <w:rPr>
          <w:rFonts w:asciiTheme="minorHAnsi" w:hAnsiTheme="minorHAnsi" w:cstheme="minorHAnsi"/>
          <w:sz w:val="20"/>
        </w:rPr>
        <w:t>Deputy DPO</w:t>
      </w:r>
      <w:r w:rsidR="00BB7728">
        <w:rPr>
          <w:rFonts w:asciiTheme="minorHAnsi" w:hAnsiTheme="minorHAnsi" w:cstheme="minorHAnsi"/>
          <w:sz w:val="20"/>
        </w:rPr>
        <w:t xml:space="preserve">, </w:t>
      </w:r>
      <w:r w:rsidR="000C4121">
        <w:rPr>
          <w:rFonts w:asciiTheme="minorHAnsi" w:hAnsiTheme="minorHAnsi" w:cstheme="minorHAnsi"/>
          <w:sz w:val="20"/>
        </w:rPr>
        <w:t>Kate Flint</w:t>
      </w:r>
      <w:bookmarkStart w:id="0" w:name="_GoBack"/>
      <w:bookmarkEnd w:id="0"/>
      <w:r w:rsidRPr="00D51FA6">
        <w:rPr>
          <w:rFonts w:asciiTheme="minorHAnsi" w:hAnsiTheme="minorHAnsi" w:cstheme="minorHAnsi"/>
          <w:sz w:val="20"/>
        </w:rPr>
        <w:t xml:space="preserve"> </w:t>
      </w:r>
      <w:r w:rsidR="004F62BE" w:rsidRPr="00D51FA6">
        <w:rPr>
          <w:rFonts w:asciiTheme="minorHAnsi" w:hAnsiTheme="minorHAnsi" w:cstheme="minorHAnsi"/>
          <w:sz w:val="20"/>
        </w:rPr>
        <w:t>has</w:t>
      </w:r>
      <w:r w:rsidRPr="00D51FA6">
        <w:rPr>
          <w:rFonts w:asciiTheme="minorHAnsi" w:hAnsiTheme="minorHAnsi" w:cstheme="minorHAnsi"/>
          <w:sz w:val="20"/>
        </w:rPr>
        <w:t xml:space="preserve"> be</w:t>
      </w:r>
      <w:r w:rsidR="004F62BE" w:rsidRPr="00D51FA6">
        <w:rPr>
          <w:rFonts w:asciiTheme="minorHAnsi" w:hAnsiTheme="minorHAnsi" w:cstheme="minorHAnsi"/>
          <w:sz w:val="20"/>
        </w:rPr>
        <w:t>en</w:t>
      </w:r>
      <w:r w:rsidRPr="00D51FA6">
        <w:rPr>
          <w:rFonts w:asciiTheme="minorHAnsi" w:hAnsiTheme="minorHAnsi" w:cstheme="minorHAnsi"/>
          <w:sz w:val="20"/>
        </w:rPr>
        <w:t xml:space="preserve"> appointed</w:t>
      </w:r>
      <w:r w:rsidR="001F40B8" w:rsidRPr="00D51FA6">
        <w:rPr>
          <w:rFonts w:asciiTheme="minorHAnsi" w:hAnsiTheme="minorHAnsi" w:cstheme="minorHAnsi"/>
          <w:sz w:val="20"/>
        </w:rPr>
        <w:t xml:space="preserve"> by the </w:t>
      </w:r>
      <w:r w:rsidR="00642DAE" w:rsidRPr="00D51FA6">
        <w:rPr>
          <w:rFonts w:asciiTheme="minorHAnsi" w:hAnsiTheme="minorHAnsi" w:cstheme="minorHAnsi"/>
          <w:sz w:val="20"/>
        </w:rPr>
        <w:t>School</w:t>
      </w:r>
      <w:r w:rsidRPr="00D51FA6">
        <w:rPr>
          <w:rFonts w:asciiTheme="minorHAnsi" w:hAnsiTheme="minorHAnsi" w:cstheme="minorHAnsi"/>
          <w:sz w:val="20"/>
        </w:rPr>
        <w:t>. Any questions or concerns about the operation of this policy should be referred in the first instance to the DPO.</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DPO will play a major role in embedding essential aspects of the GDPR into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’s culture, from ensuring the data protection principles are respected to preserving data subject rights, recording data processing activities and ensuring the security of processing.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The DPO should be involved, in a timely manner, in all issues relating to the protection of personal data. To do this, the GDPR requires that DPOs are provided with the necessary support and resources to enable the DPO to effectively carry out their tasks. Factors that should be considered include the following:</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senior management support;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time for DPOs to fulfil their duties;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adequate financial resources, infrastructure (premises, facilities and equipment) and staff where appropriate;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official communication of the designation of the DPO to make known existence and function within the organisation;</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access to other services, such as HR, IT and security, who should provide support to the DPO;</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continuous training so that DPOs can stay up to date with regard to data protection developments;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where a DPO team is deemed necessary, a clear infrastructure detailing roles and responsibilities of each team member;</w:t>
      </w:r>
    </w:p>
    <w:p w:rsidR="00972F97" w:rsidRPr="00D51FA6" w:rsidRDefault="00972F97"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sz w:val="20"/>
        </w:rPr>
        <w:t>whether</w:t>
      </w:r>
      <w:proofErr w:type="gramEnd"/>
      <w:r w:rsidRPr="00D51FA6">
        <w:rPr>
          <w:rFonts w:asciiTheme="minorHAnsi" w:hAnsiTheme="minorHAnsi" w:cstheme="minorHAnsi"/>
          <w:sz w:val="20"/>
        </w:rPr>
        <w:t xml:space="preserve">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should give the DPO access to external legal advice to advise the DPO on their responsibilities under this Data Protection Policy.</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lastRenderedPageBreak/>
        <w:t xml:space="preserve">The DPO is responsible for ensuring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’s Processing operations adequately safeguard Personal Data, in line with legal requirements. This means that the governance structure within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must ensure the independence of the DPO.</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w:t>
      </w:r>
      <w:r w:rsidR="00642DAE" w:rsidRPr="00D51FA6">
        <w:rPr>
          <w:rFonts w:asciiTheme="minorHAnsi" w:hAnsiTheme="minorHAnsi" w:cstheme="minorHAnsi"/>
          <w:sz w:val="20"/>
        </w:rPr>
        <w:t>Governing Body</w:t>
      </w:r>
      <w:r w:rsidRPr="00D51FA6">
        <w:rPr>
          <w:rFonts w:asciiTheme="minorHAnsi" w:hAnsiTheme="minorHAnsi" w:cstheme="minorHAnsi"/>
          <w:sz w:val="20"/>
        </w:rPr>
        <w:t xml:space="preserve">.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requirement that the DPO reports directly to the </w:t>
      </w:r>
      <w:r w:rsidR="00642DAE" w:rsidRPr="00D51FA6">
        <w:rPr>
          <w:rFonts w:asciiTheme="minorHAnsi" w:hAnsiTheme="minorHAnsi" w:cstheme="minorHAnsi"/>
          <w:sz w:val="20"/>
        </w:rPr>
        <w:t>Governing Body</w:t>
      </w:r>
      <w:r w:rsidRPr="00D51FA6">
        <w:rPr>
          <w:rFonts w:asciiTheme="minorHAnsi" w:hAnsiTheme="minorHAnsi" w:cstheme="minorHAnsi"/>
          <w:sz w:val="20"/>
        </w:rPr>
        <w:t xml:space="preserve"> ensures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’s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are made aware of the pertinent data protection issues. In the event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decides to take a certain course of action despite the DPO's advice to the contrary, the DPO should be given the opportunity to make their dissenting opinion clear to the </w:t>
      </w:r>
      <w:r w:rsidR="00642DAE" w:rsidRPr="00D51FA6">
        <w:rPr>
          <w:rFonts w:asciiTheme="minorHAnsi" w:hAnsiTheme="minorHAnsi" w:cstheme="minorHAnsi"/>
          <w:sz w:val="20"/>
        </w:rPr>
        <w:t>Governing Body</w:t>
      </w:r>
      <w:r w:rsidRPr="00D51FA6">
        <w:rPr>
          <w:rFonts w:asciiTheme="minorHAnsi" w:hAnsiTheme="minorHAnsi" w:cstheme="minorHAnsi"/>
          <w:sz w:val="20"/>
        </w:rPr>
        <w:t xml:space="preserve"> and to any other decision makers.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A DPO appointed internally by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In the light of this and in the event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decides to appoint an internal DPO,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take the following action in order to avoid conflicts of interests: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identify the positions incompatible with the function of DPO;</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draw up internal rules to this effect in order to avoid conflicts of interests which may include, for example, allocating some of the DPO’s other duties to other members of staff, appointing a deputy DPO and / or obtaining advice from an external advisor if appropriate;</w:t>
      </w:r>
      <w:r w:rsidR="001F40B8" w:rsidRPr="00D51FA6">
        <w:rPr>
          <w:rFonts w:asciiTheme="minorHAnsi" w:hAnsiTheme="minorHAnsi" w:cstheme="minorHAnsi"/>
          <w:sz w:val="20"/>
        </w:rPr>
        <w:t xml:space="preserve"> </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include a more general explanation of conflicts of interests;</w:t>
      </w:r>
      <w:r w:rsidR="001F40B8" w:rsidRPr="00D51FA6">
        <w:rPr>
          <w:rFonts w:asciiTheme="minorHAnsi" w:hAnsiTheme="minorHAnsi" w:cstheme="minorHAnsi"/>
          <w:sz w:val="20"/>
        </w:rPr>
        <w:t xml:space="preserve"> and</w:t>
      </w:r>
    </w:p>
    <w:p w:rsidR="00972F97" w:rsidRPr="00D51FA6" w:rsidRDefault="001F40B8"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sz w:val="20"/>
        </w:rPr>
        <w:t>i</w:t>
      </w:r>
      <w:r w:rsidR="00972F97" w:rsidRPr="00D51FA6">
        <w:rPr>
          <w:rFonts w:asciiTheme="minorHAnsi" w:hAnsiTheme="minorHAnsi" w:cstheme="minorHAnsi"/>
          <w:sz w:val="20"/>
        </w:rPr>
        <w:t>nclude</w:t>
      </w:r>
      <w:proofErr w:type="gramEnd"/>
      <w:r w:rsidR="00972F97" w:rsidRPr="00D51FA6">
        <w:rPr>
          <w:rFonts w:asciiTheme="minorHAnsi" w:hAnsiTheme="minorHAnsi" w:cstheme="minorHAnsi"/>
          <w:sz w:val="20"/>
        </w:rPr>
        <w:t xml:space="preserve"> safeguards in the internal rules of the organisation and ensure that the job specification for the position of DPO or the service contract is sufficiently precise and detailed to avoid conflicts of interest.</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If you consider that the policy has not been followed in respect of Personal Data about yourself or others you should raise the matter with the DPO.</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Definition of terms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Biometric Data</w:t>
      </w:r>
      <w:r w:rsidRPr="00D51FA6">
        <w:rPr>
          <w:rFonts w:asciiTheme="minorHAnsi" w:hAnsiTheme="minorHAnsi" w:cstheme="minorHAnsi"/>
          <w:sz w:val="20"/>
        </w:rPr>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Consent</w:t>
      </w:r>
      <w:r w:rsidRPr="00D51FA6">
        <w:rPr>
          <w:rFonts w:asciiTheme="minorHAnsi" w:hAnsiTheme="minorHAnsi" w:cstheme="minorHAnsi"/>
          <w:sz w:val="20"/>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Data</w:t>
      </w:r>
      <w:r w:rsidRPr="00D51FA6">
        <w:rPr>
          <w:rFonts w:asciiTheme="minorHAnsi" w:hAnsiTheme="minorHAnsi" w:cstheme="minorHAnsi"/>
          <w:sz w:val="20"/>
        </w:rPr>
        <w:t xml:space="preserve"> is information which is stored electronically, on a computer, or in certain paper-based filing systems or other media such as CCTV;</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Data Subjects</w:t>
      </w:r>
      <w:r w:rsidRPr="00D51FA6">
        <w:rPr>
          <w:rFonts w:asciiTheme="minorHAnsi" w:hAnsiTheme="minorHAnsi" w:cstheme="minorHAnsi"/>
          <w:sz w:val="20"/>
        </w:rPr>
        <w:t xml:space="preserve"> for the purpose of this policy include all living individuals about whom we hold Personal Data. A Data Subject need not be a UK national or resident. All Data Subjects have legal rights in relation to their Personal Data.</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Data Controllers</w:t>
      </w:r>
      <w:r w:rsidRPr="00D51FA6">
        <w:rPr>
          <w:rFonts w:asciiTheme="minorHAnsi" w:hAnsiTheme="minorHAnsi" w:cstheme="minorHAnsi"/>
          <w:sz w:val="20"/>
        </w:rPr>
        <w:t xml:space="preserve"> means the natural or legal person, public authority, agency or other body which, alone or jointly with others, determines the purposes and means of the processing of Personal Data.</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Data Users</w:t>
      </w:r>
      <w:r w:rsidRPr="00D51FA6">
        <w:rPr>
          <w:rFonts w:asciiTheme="minorHAnsi" w:hAnsiTheme="minorHAnsi" w:cstheme="minorHAnsi"/>
          <w:sz w:val="20"/>
        </w:rPr>
        <w:t xml:space="preserve"> include employees, volunteers,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whose work involves using Personal Data.  Data Users have a duty to protect the information they handle by following our data protection and security policies at all times;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Data Processors</w:t>
      </w:r>
      <w:r w:rsidRPr="00D51FA6">
        <w:rPr>
          <w:rFonts w:asciiTheme="minorHAnsi" w:hAnsiTheme="minorHAnsi" w:cstheme="minorHAnsi"/>
          <w:sz w:val="20"/>
        </w:rPr>
        <w:t xml:space="preserve"> means a natural or legal person, public authority, agency or other body which processes Personal Data on behalf of the Data Controller;</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Parent</w:t>
      </w:r>
      <w:r w:rsidRPr="00D51FA6">
        <w:rPr>
          <w:rFonts w:asciiTheme="minorHAnsi" w:hAnsiTheme="minorHAnsi" w:cstheme="minorHAnsi"/>
          <w:sz w:val="20"/>
        </w:rPr>
        <w:t xml:space="preserve"> has the meaning given in the Education Act 1996 and includes any person having parental responsibility or care of a child;</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lastRenderedPageBreak/>
        <w:t>Personal Data</w:t>
      </w:r>
      <w:r w:rsidRPr="00D51FA6">
        <w:rPr>
          <w:rFonts w:asciiTheme="minorHAnsi" w:hAnsiTheme="minorHAnsi" w:cstheme="minorHAnsi"/>
          <w:sz w:val="20"/>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Personal Data Breach</w:t>
      </w:r>
      <w:r w:rsidRPr="00D51FA6">
        <w:rPr>
          <w:rFonts w:asciiTheme="minorHAnsi" w:hAnsiTheme="minorHAnsi" w:cstheme="minorHAnsi"/>
          <w:sz w:val="20"/>
        </w:rPr>
        <w:t xml:space="preserve"> means a breach of security leading to the accidental or unlawful destruction, loss, alteration, unauthorised disclosure of, or access to, Personal Data transmitted, stored or otherwise processed;</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Privacy by Design</w:t>
      </w:r>
      <w:r w:rsidRPr="00D51FA6">
        <w:rPr>
          <w:rFonts w:asciiTheme="minorHAnsi" w:hAnsiTheme="minorHAnsi" w:cstheme="minorHAnsi"/>
          <w:sz w:val="20"/>
        </w:rPr>
        <w:t xml:space="preserve"> means implementing appropriate technical and organisational measures in an effective manner to ensure compliance with the GDPR;</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Processing</w:t>
      </w:r>
      <w:r w:rsidRPr="00D51FA6">
        <w:rPr>
          <w:rFonts w:asciiTheme="minorHAnsi" w:hAnsiTheme="minorHAnsi" w:cstheme="minorHAnsi"/>
          <w:sz w:val="20"/>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b/>
          <w:sz w:val="20"/>
        </w:rPr>
        <w:t>Sensitive Personal Data</w:t>
      </w:r>
      <w:r w:rsidRPr="00D51FA6">
        <w:rPr>
          <w:rFonts w:asciiTheme="minorHAnsi" w:hAnsiTheme="minorHAnsi" w:cstheme="minorHAnsi"/>
          <w:sz w:val="20"/>
        </w:rPr>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Data protection principles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Anyone processing Personal Data must comply with the enforceable principles of good practice. These provide that Personal Data must be: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processed lawfully, fairly and in a transparent manner in relation to individuals;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adequate, relevant and limited to what is necessary in relation to the purposes for which they are processed;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accurate and, where necessary, kept up to date; every reasonable step must be taken to ensure that Personal Data that are inaccurate, having regard to the purposes for which they are processed, are erased or rectified without delay;</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Processed in a manner that ensures appropriate security of the Personal Data, including protection against unauthorised or unlawful processing and against accidental loss, destruction or damage, using appropriate technical or organisational measures.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Processed lawfully, fairly and in a transparent manner</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The GDPR is intended not to prevent the processing of Personal Data, but to ensure that it is done fairly and without adversely affecting the rights of the Data Subject. The Data Subject must be told who the Data Controller is (in this case the </w:t>
      </w:r>
      <w:r w:rsidR="00642DAE" w:rsidRPr="00D51FA6">
        <w:rPr>
          <w:rFonts w:asciiTheme="minorHAnsi" w:hAnsiTheme="minorHAnsi" w:cstheme="minorHAnsi"/>
          <w:sz w:val="20"/>
        </w:rPr>
        <w:t>School</w:t>
      </w:r>
      <w:r w:rsidRPr="00D51FA6">
        <w:rPr>
          <w:rFonts w:asciiTheme="minorHAnsi" w:hAnsiTheme="minorHAnsi" w:cstheme="minorHAnsi"/>
          <w:sz w:val="20"/>
        </w:rPr>
        <w:t>), who the Data Controller’s representative is (in this case the DPO), the purpose for which the data is to be Processed by us, and the identities of anyone to whom the Data may be disclosed or transferred.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For Personal Data to be processed lawfully, certain conditions have to be met. These may include:</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where we have the Consent of the Data Subject;</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where it is necessary for compliance with a legal obligation;</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where processing is necessary to protect the vital interests of the Data Subject or another person;</w:t>
      </w:r>
    </w:p>
    <w:p w:rsidR="00972F97" w:rsidRPr="00D51FA6" w:rsidRDefault="00972F97" w:rsidP="007E15FB">
      <w:pPr>
        <w:pStyle w:val="AnnexureHeading4"/>
        <w:spacing w:before="0" w:after="0"/>
        <w:jc w:val="left"/>
        <w:rPr>
          <w:rFonts w:asciiTheme="minorHAnsi" w:hAnsiTheme="minorHAnsi" w:cstheme="minorHAnsi"/>
          <w:sz w:val="20"/>
        </w:rPr>
      </w:pPr>
      <w:proofErr w:type="gramStart"/>
      <w:r w:rsidRPr="00D51FA6">
        <w:rPr>
          <w:rFonts w:asciiTheme="minorHAnsi" w:hAnsiTheme="minorHAnsi" w:cstheme="minorHAnsi"/>
          <w:sz w:val="20"/>
        </w:rPr>
        <w:t>where</w:t>
      </w:r>
      <w:proofErr w:type="gramEnd"/>
      <w:r w:rsidRPr="00D51FA6">
        <w:rPr>
          <w:rFonts w:asciiTheme="minorHAnsi" w:hAnsiTheme="minorHAnsi" w:cstheme="minorHAnsi"/>
          <w:sz w:val="20"/>
        </w:rPr>
        <w:t xml:space="preserve"> it is necessary for the performance of a task carried out in the public interest or in the exercise of official authority vested in the controller.</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lastRenderedPageBreak/>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Sensitive Personal Data</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be processing Sensitive Personal Data about our stakeholders.  We recognise that the law states that this type of Data needs more protection.  Therefore, Data Users must be more careful with the way in which we process Sensitive Personal Data.  </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When Sensitive Personal Data is being processed, as well as establishing a lawful b</w:t>
      </w:r>
      <w:r w:rsidR="001F40B8" w:rsidRPr="00D51FA6">
        <w:rPr>
          <w:rFonts w:asciiTheme="minorHAnsi" w:hAnsiTheme="minorHAnsi" w:cstheme="minorHAnsi"/>
          <w:sz w:val="20"/>
        </w:rPr>
        <w:t>asis (as outlined in paragraph 5.1</w:t>
      </w:r>
      <w:r w:rsidRPr="00D51FA6">
        <w:rPr>
          <w:rFonts w:asciiTheme="minorHAnsi" w:hAnsiTheme="minorHAnsi" w:cstheme="minorHAnsi"/>
          <w:sz w:val="20"/>
        </w:rPr>
        <w:t xml:space="preserve"> above), a separate condition for processing it must be met. In most cases the relevant conditions are likely to be that:</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the Data Subject’s explicit consent to the processing of such data has been obtained</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lang w:val="en"/>
        </w:rPr>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lang w:val="en"/>
        </w:rPr>
        <w:t>processing is necessary to protect the vital interests of the Data Subject or of another natural person where the Data Subject is physically or legally incapable of giving consent;</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processing is necessary for the purposes of carrying out the obligations and exercising specific rights of the Data Controller or of the Data Subject in the field of employment law in so far as it is authorised by Union or Member State law or a collective agreement pursuant to Member State law providing for appropriate safeguards for the fundamental rights and the interests of the Data Subject.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recognises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Criminal convictions and offences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lang w:val="en"/>
        </w:rPr>
        <w:t>There are separate safeguards in the GDPR for Personal Data relating to criminal convictions and offences.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It is likely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Process Data about criminal convictions or offences.  This may be as a result of pre-vetting checks we are</w:t>
      </w:r>
      <w:r w:rsidR="001F40B8" w:rsidRPr="00D51FA6">
        <w:rPr>
          <w:rFonts w:asciiTheme="minorHAnsi" w:hAnsiTheme="minorHAnsi" w:cstheme="minorHAnsi"/>
          <w:sz w:val="20"/>
        </w:rPr>
        <w:t xml:space="preserve"> required to undertake on staff and</w:t>
      </w:r>
      <w:r w:rsidRPr="00D51FA6">
        <w:rPr>
          <w:rFonts w:asciiTheme="minorHAnsi" w:hAnsiTheme="minorHAnsi" w:cstheme="minorHAnsi"/>
          <w:sz w:val="20"/>
        </w:rPr>
        <w:t xml:space="preserve">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or due to information which we may acquire during the course of their employment or appointment.  </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In addition, from time to time we may acquire information about criminal convictions or offences involving pupils or Parents.  This information is not routinely collected and is only likely to be processed by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in specific circumstances, for example, if a child protection issue arises or if a parent / carer is involved in a criminal matter.  </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Transparency </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One of the key requirements of the GDPR relates to transparency.  This means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must keep Data Subjects informed about how their Personal Data will be processed when it is collected.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One of the ways we provide this information to individuals is through a privacy notice which sets out important information what we do with their Personal Data.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has developed privacy notices for the following categories of people:</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Parents</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lastRenderedPageBreak/>
        <w:t>Staff</w:t>
      </w:r>
    </w:p>
    <w:p w:rsidR="00972F97" w:rsidRPr="00D51FA6" w:rsidRDefault="00642DAE"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Governors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wishes to adopt a layered approach to keeping people informed about how we process their Personal Data.  This means that the privacy notice is just one of the tools we will use to communicate this information.  </w:t>
      </w:r>
      <w:r w:rsidR="00642DAE" w:rsidRPr="00D51FA6">
        <w:rPr>
          <w:rFonts w:asciiTheme="minorHAnsi" w:hAnsiTheme="minorHAnsi" w:cstheme="minorHAnsi"/>
          <w:sz w:val="20"/>
        </w:rPr>
        <w:t>E</w:t>
      </w:r>
      <w:r w:rsidRPr="00D51FA6">
        <w:rPr>
          <w:rFonts w:asciiTheme="minorHAnsi" w:hAnsiTheme="minorHAnsi" w:cstheme="minorHAnsi"/>
          <w:sz w:val="20"/>
        </w:rPr>
        <w:t xml:space="preserv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collected about visitors to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premises or if we ask people to complete forms requiring them to provide their Personal Data.</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We will ensure that privacy notices are concise, transparent, intelligible and easily accessible; written in clear and plain language, particularly if addressed to a child; and free of charge.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Consent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must only process Personal Data on the basis of one or more of the lawful bases set out in the GDPR, which include Consent.  Consent is not the only lawful basis and there are likely to be many circumstances when we process Personal Data and our justification for doing so is based on a lawful basis other than Consent.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DE24E8"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In the event that we are relying on Consent as a basis for Processing Personal Data about pupils, if a pupil is aged under 13, we will need to obtain Consent from the Parent(s).  Consent is likely to be required if, for example, </w:t>
      </w:r>
      <w:r w:rsidR="001F40B8"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wishes to use a photo of a pupil on its website or on social media.  Consent is also required before any pupils are signed up to online learning platforms.  Such Consent must be from the Parent i</w:t>
      </w:r>
      <w:r w:rsidR="00DE24E8" w:rsidRPr="00D51FA6">
        <w:rPr>
          <w:rFonts w:asciiTheme="minorHAnsi" w:hAnsiTheme="minorHAnsi" w:cstheme="minorHAnsi"/>
          <w:sz w:val="20"/>
        </w:rPr>
        <w:t>f</w:t>
      </w:r>
      <w:r w:rsidRPr="00D51FA6">
        <w:rPr>
          <w:rFonts w:asciiTheme="minorHAnsi" w:hAnsiTheme="minorHAnsi" w:cstheme="minorHAnsi"/>
          <w:sz w:val="20"/>
        </w:rPr>
        <w:t xml:space="preserve"> the pupil is aged under 13.   </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Data Subjects must be easily able to withdraw Consent to Processing at any time and withdrawal must be promptly honoured. Consent may need to be refreshed if we intend to Process Personal Data for a different and incompatible purpose which was not disclosed when the Data Subject first consented.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Unless we can rely on another legal basis of Processing, Explicit Consent is usually required for Processing Sensitive Personal Data. Often we will be relying on another legal basis (and not require Explicit Consent) to Process most types of Sensitive Data. </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Evidence and records of Consent must be maintained so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can demonstrate compliance with Consent requirements.</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Specified, explicit and legitimate purposes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Personal data should only be collected to the extent that it is required for the specific purpose notified to the Data Subject, for example, in the Privacy Notice or at the point of collecting the Personal Data. Any data which is not necessary for that purpose should not be collected in the first place.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w:t>
      </w:r>
      <w:r w:rsidR="00DE24E8" w:rsidRPr="00D51FA6">
        <w:rPr>
          <w:rFonts w:asciiTheme="minorHAnsi" w:hAnsiTheme="minorHAnsi" w:cstheme="minorHAnsi"/>
          <w:sz w:val="20"/>
        </w:rPr>
        <w:t>c</w:t>
      </w:r>
      <w:r w:rsidRPr="00D51FA6">
        <w:rPr>
          <w:rFonts w:asciiTheme="minorHAnsi" w:hAnsiTheme="minorHAnsi" w:cstheme="minorHAnsi"/>
          <w:sz w:val="20"/>
        </w:rPr>
        <w:t>onsented where necessary.</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Adequate, relevant and limited to what is necessary</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ensure that the Personal Data collected is adequate to enable us to perform our functions and that the information is relevant and limited to what is necessary.</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In order to ensure compliance with this principle,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check records at appropriate intervals for missing, irrelevant or seemingly excessive information and may contact Data Subjects to verify certain items of data.</w:t>
      </w:r>
    </w:p>
    <w:p w:rsidR="00972F97" w:rsidRPr="00D51FA6" w:rsidRDefault="00642DAE"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E</w:t>
      </w:r>
      <w:r w:rsidR="00972F97" w:rsidRPr="00D51FA6">
        <w:rPr>
          <w:rFonts w:asciiTheme="minorHAnsi" w:hAnsiTheme="minorHAnsi" w:cstheme="minorHAnsi"/>
          <w:sz w:val="20"/>
        </w:rPr>
        <w:t>mployees must also give due consideration to any forms stakeholders are asked to complete and consider whether the all the information is required.  We may only collect Personal Data that is needed to operate as a school functions and we should not collect excessive data.   We should ensure that any Personal Data collected is adequate and relevant for the intended purposes.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implement measures to ensure that Personal Data is processed on a ‘Need to Know’ basis.  This means</w:t>
      </w:r>
      <w:r w:rsidR="001F40B8" w:rsidRPr="00D51FA6">
        <w:rPr>
          <w:rFonts w:asciiTheme="minorHAnsi" w:hAnsiTheme="minorHAnsi" w:cstheme="minorHAnsi"/>
          <w:sz w:val="20"/>
        </w:rPr>
        <w:t xml:space="preserve"> that the only members of staff o</w:t>
      </w:r>
      <w:r w:rsidRPr="00D51FA6">
        <w:rPr>
          <w:rFonts w:asciiTheme="minorHAnsi" w:hAnsiTheme="minorHAnsi" w:cstheme="minorHAnsi"/>
          <w:sz w:val="20"/>
        </w:rPr>
        <w:t xml:space="preserve">r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who need to know Personal Data about a Data Subject will be given access to it and no more information than is necessary for the relevant purpose will be shared.  In practice, this means that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may adopt a layered approach in some circumstances, for example, members of staff</w:t>
      </w:r>
      <w:r w:rsidR="001F40B8" w:rsidRPr="00D51FA6">
        <w:rPr>
          <w:rFonts w:asciiTheme="minorHAnsi" w:hAnsiTheme="minorHAnsi" w:cstheme="minorHAnsi"/>
          <w:sz w:val="20"/>
        </w:rPr>
        <w:t xml:space="preserve"> or</w:t>
      </w:r>
      <w:r w:rsidRPr="00D51FA6">
        <w:rPr>
          <w:rFonts w:asciiTheme="minorHAnsi" w:hAnsiTheme="minorHAnsi" w:cstheme="minorHAnsi"/>
          <w:sz w:val="20"/>
        </w:rPr>
        <w:t xml:space="preserve">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may be given access to basic information about a pupil or employee if they need to know it for a particular purpose but other information about a Data Subject may be restricted to certain members of staff who need to know it, for example, where the information is Sensitive Personal Data, relates to criminal convictions or offences or is confidential in nature (for example, child protection or safeguarding records).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When Personal Data is no longer needed for specified purposes, it must be deleted or anonymised in accordance with the </w:t>
      </w:r>
      <w:r w:rsidR="00642DAE" w:rsidRPr="00D51FA6">
        <w:rPr>
          <w:rFonts w:asciiTheme="minorHAnsi" w:hAnsiTheme="minorHAnsi" w:cstheme="minorHAnsi"/>
          <w:sz w:val="20"/>
        </w:rPr>
        <w:t>School</w:t>
      </w:r>
      <w:r w:rsidRPr="00D51FA6">
        <w:rPr>
          <w:rFonts w:asciiTheme="minorHAnsi" w:hAnsiTheme="minorHAnsi" w:cstheme="minorHAnsi"/>
          <w:sz w:val="20"/>
        </w:rPr>
        <w:t>’s data retention guidelines.</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Accurate and, where necessary, kept up to date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If a Data Subject informs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of a change of circumstances their records will be updated as soon as is practicable.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Where a Data Subject challenges the accuracy of their data,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immediately mark the record as potentially inaccurate, or ‘challenged’. In the case of any dispute, we shall try to resolve the issue informally, but if this proves impossible, disputes will be referred to the Data Protection 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Notwithstanding paragraph </w:t>
      </w:r>
      <w:r w:rsidR="001F40B8" w:rsidRPr="00D51FA6">
        <w:rPr>
          <w:rFonts w:asciiTheme="minorHAnsi" w:hAnsiTheme="minorHAnsi" w:cstheme="minorHAnsi"/>
          <w:sz w:val="20"/>
        </w:rPr>
        <w:t>8</w:t>
      </w:r>
      <w:r w:rsidRPr="00D51FA6">
        <w:rPr>
          <w:rFonts w:asciiTheme="minorHAnsi" w:hAnsiTheme="minorHAnsi" w:cstheme="minorHAnsi"/>
          <w:sz w:val="20"/>
        </w:rPr>
        <w:t xml:space="preserve">.3, a Data Subject continues to have rights under the GDPR and may refer a complaint to the Information Commissioner’s Office regardless of whether the procedure set out in paragraph </w:t>
      </w:r>
      <w:r w:rsidR="00642DAE" w:rsidRPr="00D51FA6">
        <w:rPr>
          <w:rFonts w:asciiTheme="minorHAnsi" w:hAnsiTheme="minorHAnsi" w:cstheme="minorHAnsi"/>
          <w:sz w:val="20"/>
        </w:rPr>
        <w:t>8</w:t>
      </w:r>
      <w:r w:rsidRPr="00D51FA6">
        <w:rPr>
          <w:rFonts w:asciiTheme="minorHAnsi" w:hAnsiTheme="minorHAnsi" w:cstheme="minorHAnsi"/>
          <w:sz w:val="20"/>
        </w:rPr>
        <w:t>.3 has been followed.</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Data to be kept for no longer than is necessary for the purposes for which the Personal Data are processed</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Personal data should not be kept longer than is necessary for the purpose for which it is held. This means that data should be destroyed or erased from our systems when it is no longer required.</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It is the duty of the DPO, after taking appropriate guidance for legal considerations, to ensure that obsolete data are properly erased.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has a retention schedule for all data.</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Data to be processed in a manner that ensures appropriate security of the Personal Data</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has taken steps to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The GDPR requires us to put in place procedures and technologies to maintain the security of all Personal Data from the point of collection to the point of destruction.</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We will develop, implement and maintain safeguards appropriate to our size, scope, our available resources, </w:t>
      </w:r>
      <w:proofErr w:type="gramStart"/>
      <w:r w:rsidRPr="00D51FA6">
        <w:rPr>
          <w:rFonts w:asciiTheme="minorHAnsi" w:hAnsiTheme="minorHAnsi" w:cstheme="minorHAnsi"/>
          <w:sz w:val="20"/>
        </w:rPr>
        <w:t>the</w:t>
      </w:r>
      <w:proofErr w:type="gramEnd"/>
      <w:r w:rsidRPr="00D51FA6">
        <w:rPr>
          <w:rFonts w:asciiTheme="minorHAnsi" w:hAnsiTheme="minorHAnsi" w:cstheme="minorHAnsi"/>
          <w:sz w:val="20"/>
        </w:rPr>
        <w:t xml:space="preserve"> amount of Personal Data that we own or maintain on behalf of others and identified risks (including use of encryption and </w:t>
      </w:r>
      <w:proofErr w:type="spellStart"/>
      <w:r w:rsidRPr="00D51FA6">
        <w:rPr>
          <w:rFonts w:asciiTheme="minorHAnsi" w:hAnsiTheme="minorHAnsi" w:cstheme="minorHAnsi"/>
          <w:sz w:val="20"/>
        </w:rPr>
        <w:t>Pseudonymisation</w:t>
      </w:r>
      <w:proofErr w:type="spellEnd"/>
      <w:r w:rsidRPr="00D51FA6">
        <w:rPr>
          <w:rFonts w:asciiTheme="minorHAnsi" w:hAnsiTheme="minorHAnsi" w:cstheme="minorHAnsi"/>
          <w:sz w:val="20"/>
        </w:rPr>
        <w:t xml:space="preserve"> where applicable). We will regularly evaluate and test the effectiveness of those safeguards to ensure security of our Processing of Personal Data.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Sensitive Personal Data from loss and unauthorised access, use or disclosure.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Data Users must follow all procedures and technologies we put in place to maintain the security of all Personal Data from the point of collection to the point of destruction. Data Users must comply with all applicable aspects of </w:t>
      </w:r>
      <w:r w:rsidR="00D51FA6" w:rsidRPr="00D51FA6">
        <w:rPr>
          <w:rFonts w:asciiTheme="minorHAnsi" w:hAnsiTheme="minorHAnsi" w:cstheme="minorHAnsi"/>
          <w:sz w:val="20"/>
        </w:rPr>
        <w:t xml:space="preserve">our </w:t>
      </w:r>
      <w:r w:rsidR="00E53EAF">
        <w:rPr>
          <w:rFonts w:asciiTheme="minorHAnsi" w:hAnsiTheme="minorHAnsi" w:cstheme="minorHAnsi"/>
          <w:sz w:val="20"/>
        </w:rPr>
        <w:t>Acceptable Use</w:t>
      </w:r>
      <w:r w:rsidR="00D51FA6" w:rsidRPr="00D51FA6">
        <w:rPr>
          <w:rFonts w:asciiTheme="minorHAnsi" w:hAnsiTheme="minorHAnsi" w:cstheme="minorHAnsi"/>
          <w:sz w:val="20"/>
        </w:rPr>
        <w:t xml:space="preserve"> policy </w:t>
      </w:r>
      <w:r w:rsidRPr="00D51FA6">
        <w:rPr>
          <w:rFonts w:asciiTheme="minorHAnsi" w:hAnsiTheme="minorHAnsi" w:cstheme="minorHAnsi"/>
          <w:sz w:val="20"/>
        </w:rPr>
        <w:t>and not attempt to circumvent the administrative, physical and technical safeguards we implement and maintain in accordance with the GDPR and relevant standards to protect Personal Data.</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Maintaining data security means guaranteeing the confidentiality, integrity and availability of the Personal Data, defined as follows: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b/>
          <w:color w:val="000000"/>
          <w:sz w:val="20"/>
        </w:rPr>
        <w:t xml:space="preserve">Confidentiality </w:t>
      </w:r>
      <w:r w:rsidRPr="00D51FA6">
        <w:rPr>
          <w:rFonts w:asciiTheme="minorHAnsi" w:hAnsiTheme="minorHAnsi" w:cstheme="minorHAnsi"/>
          <w:sz w:val="20"/>
        </w:rPr>
        <w:t>means that only people who are authorised to use the data can access it.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b/>
          <w:color w:val="000000"/>
          <w:sz w:val="20"/>
        </w:rPr>
        <w:t>Integrity</w:t>
      </w:r>
      <w:r w:rsidRPr="00D51FA6">
        <w:rPr>
          <w:rFonts w:asciiTheme="minorHAnsi" w:hAnsiTheme="minorHAnsi" w:cstheme="minorHAnsi"/>
          <w:sz w:val="20"/>
        </w:rPr>
        <w:t xml:space="preserve"> means that Personal Data should be accurate and suitable for the purpose for which it is processed.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b/>
          <w:color w:val="000000"/>
          <w:sz w:val="20"/>
        </w:rPr>
        <w:t>Availability</w:t>
      </w:r>
      <w:r w:rsidRPr="00D51FA6">
        <w:rPr>
          <w:rFonts w:asciiTheme="minorHAnsi" w:hAnsiTheme="minorHAnsi" w:cstheme="minorHAnsi"/>
          <w:sz w:val="20"/>
        </w:rPr>
        <w:t xml:space="preserve"> means that authorised users should be able to access the data if they need it for authorised purposes.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It is the responsibility of all members of staff</w:t>
      </w:r>
      <w:r w:rsidR="001F40B8" w:rsidRPr="00D51FA6">
        <w:rPr>
          <w:rFonts w:asciiTheme="minorHAnsi" w:hAnsiTheme="minorHAnsi" w:cstheme="minorHAnsi"/>
          <w:sz w:val="20"/>
        </w:rPr>
        <w:t xml:space="preserve"> and</w:t>
      </w:r>
      <w:r w:rsidRPr="00D51FA6">
        <w:rPr>
          <w:rFonts w:asciiTheme="minorHAnsi" w:hAnsiTheme="minorHAnsi" w:cstheme="minorHAnsi"/>
          <w:sz w:val="20"/>
        </w:rPr>
        <w:t xml:space="preserve">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Headteacher or the DPO.</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Please see our Data </w:t>
      </w:r>
      <w:r w:rsidR="00D51FA6" w:rsidRPr="00D51FA6">
        <w:rPr>
          <w:rFonts w:asciiTheme="minorHAnsi" w:hAnsiTheme="minorHAnsi" w:cstheme="minorHAnsi"/>
          <w:sz w:val="20"/>
        </w:rPr>
        <w:t>Retention</w:t>
      </w:r>
      <w:r w:rsidRPr="00D51FA6">
        <w:rPr>
          <w:rFonts w:asciiTheme="minorHAnsi" w:hAnsiTheme="minorHAnsi" w:cstheme="minorHAnsi"/>
          <w:sz w:val="20"/>
        </w:rPr>
        <w:t xml:space="preserve"> Policy for details </w:t>
      </w:r>
      <w:r w:rsidR="00D51FA6" w:rsidRPr="00D51FA6">
        <w:rPr>
          <w:rFonts w:asciiTheme="minorHAnsi" w:hAnsiTheme="minorHAnsi" w:cstheme="minorHAnsi"/>
          <w:sz w:val="20"/>
        </w:rPr>
        <w:t>on the length of time information is kept in school.</w:t>
      </w:r>
    </w:p>
    <w:p w:rsidR="00972F97" w:rsidRPr="00D51FA6" w:rsidRDefault="00642DAE"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Governors</w:t>
      </w:r>
      <w:r w:rsidR="00972F97" w:rsidRPr="00D51FA6">
        <w:rPr>
          <w:rFonts w:asciiTheme="minorHAnsi" w:hAnsiTheme="minorHAnsi" w:cstheme="minorHAnsi"/>
          <w:sz w:val="20"/>
        </w:rPr>
        <w:t xml:space="preserve"> </w:t>
      </w:r>
    </w:p>
    <w:p w:rsidR="00972F97" w:rsidRPr="00D51FA6" w:rsidRDefault="00642DAE"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Governors</w:t>
      </w:r>
      <w:r w:rsidR="00972F97" w:rsidRPr="00D51FA6">
        <w:rPr>
          <w:rFonts w:asciiTheme="minorHAnsi" w:hAnsiTheme="minorHAnsi" w:cstheme="minorHAnsi"/>
          <w:sz w:val="20"/>
        </w:rPr>
        <w:t xml:space="preserve"> are likely to process Personal Data when they are performing their duties, for example, if they are dealing with employee issues, pupil exclusions or parent complaints.  </w:t>
      </w:r>
      <w:r w:rsidRPr="00D51FA6">
        <w:rPr>
          <w:rFonts w:asciiTheme="minorHAnsi" w:hAnsiTheme="minorHAnsi" w:cstheme="minorHAnsi"/>
          <w:sz w:val="20"/>
        </w:rPr>
        <w:t>Governors</w:t>
      </w:r>
      <w:r w:rsidR="00972F97" w:rsidRPr="00D51FA6">
        <w:rPr>
          <w:rFonts w:asciiTheme="minorHAnsi" w:hAnsiTheme="minorHAnsi" w:cstheme="minorHAnsi"/>
          <w:sz w:val="20"/>
        </w:rPr>
        <w:t xml:space="preserve"> should be trained on the </w:t>
      </w:r>
      <w:r w:rsidRPr="00D51FA6">
        <w:rPr>
          <w:rFonts w:asciiTheme="minorHAnsi" w:hAnsiTheme="minorHAnsi" w:cstheme="minorHAnsi"/>
          <w:sz w:val="20"/>
        </w:rPr>
        <w:t>School</w:t>
      </w:r>
      <w:r w:rsidR="00972F97" w:rsidRPr="00D51FA6">
        <w:rPr>
          <w:rFonts w:asciiTheme="minorHAnsi" w:hAnsiTheme="minorHAnsi" w:cstheme="minorHAnsi"/>
          <w:sz w:val="20"/>
        </w:rPr>
        <w:t>’s data protection processes as part of their induction and should be informed about their responsibilities to keep Personal Data secure.  This includes:</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 xml:space="preserve">Ensure that Personal Data which comes into their possession as a result of their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duties is kept secure from third parties, including family members and friends;</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 xml:space="preserve">Ensure they are provided with a copy of the </w:t>
      </w:r>
      <w:r w:rsidR="00642DAE" w:rsidRPr="00D51FA6">
        <w:rPr>
          <w:rFonts w:asciiTheme="minorHAnsi" w:hAnsiTheme="minorHAnsi" w:cstheme="minorHAnsi"/>
          <w:sz w:val="20"/>
        </w:rPr>
        <w:t>School</w:t>
      </w:r>
      <w:r w:rsidRPr="00D51FA6">
        <w:rPr>
          <w:rFonts w:asciiTheme="minorHAnsi" w:hAnsiTheme="minorHAnsi" w:cstheme="minorHAnsi"/>
          <w:sz w:val="20"/>
        </w:rPr>
        <w:t>’s Data Security Policy</w:t>
      </w:r>
      <w:r w:rsidR="004D325B" w:rsidRPr="00D51FA6">
        <w:rPr>
          <w:rFonts w:asciiTheme="minorHAnsi" w:hAnsiTheme="minorHAnsi" w:cstheme="minorHAnsi"/>
          <w:sz w:val="20"/>
        </w:rPr>
        <w:t>.</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 xml:space="preserve">Using a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email account for any </w:t>
      </w:r>
      <w:r w:rsidR="00642DAE" w:rsidRPr="00D51FA6">
        <w:rPr>
          <w:rFonts w:asciiTheme="minorHAnsi" w:hAnsiTheme="minorHAnsi" w:cstheme="minorHAnsi"/>
          <w:sz w:val="20"/>
        </w:rPr>
        <w:t>School</w:t>
      </w:r>
      <w:r w:rsidRPr="00D51FA6">
        <w:rPr>
          <w:rFonts w:asciiTheme="minorHAnsi" w:hAnsiTheme="minorHAnsi" w:cstheme="minorHAnsi"/>
          <w:sz w:val="20"/>
        </w:rPr>
        <w:t>-related communications;</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 xml:space="preserve">Ensuring that any </w:t>
      </w:r>
      <w:r w:rsidR="00642DAE" w:rsidRPr="00D51FA6">
        <w:rPr>
          <w:rFonts w:asciiTheme="minorHAnsi" w:hAnsiTheme="minorHAnsi" w:cstheme="minorHAnsi"/>
          <w:sz w:val="20"/>
        </w:rPr>
        <w:t>School</w:t>
      </w:r>
      <w:r w:rsidRPr="00D51FA6">
        <w:rPr>
          <w:rFonts w:asciiTheme="minorHAnsi" w:hAnsiTheme="minorHAnsi" w:cstheme="minorHAnsi"/>
          <w:sz w:val="20"/>
        </w:rPr>
        <w:t>-related communications or information stored or saved on an electronic device or computer is password protected [and encrypted];</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Taking appropriate measures to keep Personal Data secure, which includes ensuring that hard copy documents are securely locked away so that they cannot be access by third parties.</w:t>
      </w:r>
    </w:p>
    <w:p w:rsidR="00972F97" w:rsidRPr="00D51FA6" w:rsidRDefault="00642DAE"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Governors</w:t>
      </w:r>
      <w:r w:rsidR="00972F97" w:rsidRPr="00D51FA6">
        <w:rPr>
          <w:rFonts w:asciiTheme="minorHAnsi" w:hAnsiTheme="minorHAnsi" w:cstheme="minorHAnsi"/>
          <w:sz w:val="20"/>
        </w:rPr>
        <w:t xml:space="preserve"> will be asked to read and sign an Acceptable Use Agreement.</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Processing in line with Data Subjects’ rights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Data Subjects have rights when it comes to how we handle their Personal Data. These include rights to:</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withdraw Consent to Processing at any time;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receive certain information about the Data Controller’s Processing activities;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request access to their Personal Data that we hold;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prevent our use of their Personal Data for direct marketing purposes;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ask us to erase Personal Data if it is no longer necessary in relation to the purposes for which it was collected or Processed or to rectify inaccurate data or to complete incomplete data;</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restrict Processing in specific circumstances;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challenge Processing which has been justified on the basis of our legitimate interests or in the public interest;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request a copy of an agreement under which Personal Data is transferred outside of the EEA;</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object to decisions based solely on Automated Processing, including profiling (Automated Decision  Making);</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prevent Processing that is likely to cause damage or distress to the Data Subject or anyone else;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be notified of a Personal Data Breach which is likely to result in high risk to their rights and freedoms;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make a complaint to the supervisory authority (the ICO); and</w:t>
      </w:r>
    </w:p>
    <w:p w:rsidR="00972F97" w:rsidRPr="00D51FA6" w:rsidRDefault="00972F97"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sz w:val="20"/>
        </w:rPr>
        <w:t>in</w:t>
      </w:r>
      <w:proofErr w:type="gramEnd"/>
      <w:r w:rsidR="004D325B" w:rsidRPr="00D51FA6">
        <w:rPr>
          <w:rFonts w:asciiTheme="minorHAnsi" w:hAnsiTheme="minorHAnsi" w:cstheme="minorHAnsi"/>
          <w:sz w:val="20"/>
        </w:rPr>
        <w:t xml:space="preserve"> </w:t>
      </w:r>
      <w:r w:rsidRPr="00D51FA6">
        <w:rPr>
          <w:rFonts w:asciiTheme="minorHAnsi" w:hAnsiTheme="minorHAnsi" w:cstheme="minorHAnsi"/>
          <w:sz w:val="20"/>
        </w:rPr>
        <w:t>limited circumstances, receive or ask for their Personal Data to be transferred to a third party in a structured, commonly used and machine readable format.</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We are required to verify the identity of an individual requesting data under any of the rights listed above.  Members of staff should not allow third parties to persuade them into disclosing Personal Data without proper authorisation.</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Dealing with subject access requests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GDPR extends to all Data Subjects a right of access to their own Personal Data.  A formal request from a Data Subject for information that we hold about them must be made in writing.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can invite a Data Subject to complete a form but we may not insist that they do so.</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w:t>
      </w:r>
      <w:r w:rsidR="00642DAE" w:rsidRPr="00D51FA6">
        <w:rPr>
          <w:rFonts w:asciiTheme="minorHAnsi" w:hAnsiTheme="minorHAnsi" w:cstheme="minorHAnsi"/>
          <w:sz w:val="20"/>
        </w:rPr>
        <w:t xml:space="preserve">” but this should not prevent </w:t>
      </w: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from responding to the request as being made under the GDPR, if appropriate. Some requests may contain a combination of a Subject Access Request for Personal Data under the GDPR and a request for information under the Freedom of Information Act 2000 (“FOIA”).  Requests for information under the FOIA must be dealt with promptly and in any event within 20 school days.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Any member of staff who receives a written request of this nature must immediately forward it to the </w:t>
      </w:r>
      <w:r w:rsidR="001F40B8" w:rsidRPr="00D51FA6">
        <w:rPr>
          <w:rFonts w:asciiTheme="minorHAnsi" w:hAnsiTheme="minorHAnsi" w:cstheme="minorHAnsi"/>
          <w:sz w:val="20"/>
        </w:rPr>
        <w:t>DPO</w:t>
      </w:r>
      <w:r w:rsidRPr="00D51FA6">
        <w:rPr>
          <w:rFonts w:asciiTheme="minorHAnsi" w:hAnsiTheme="minorHAnsi" w:cstheme="minorHAnsi"/>
          <w:sz w:val="20"/>
        </w:rPr>
        <w:t xml:space="preserve"> as the statutory time limit for responding is </w:t>
      </w:r>
      <w:r w:rsidRPr="00D51FA6">
        <w:rPr>
          <w:rFonts w:asciiTheme="minorHAnsi" w:hAnsiTheme="minorHAnsi" w:cstheme="minorHAnsi"/>
          <w:b/>
          <w:sz w:val="20"/>
        </w:rPr>
        <w:t>one calendar month</w:t>
      </w:r>
      <w:r w:rsidRPr="00D51FA6">
        <w:rPr>
          <w:rFonts w:asciiTheme="minorHAnsi" w:hAnsiTheme="minorHAnsi" w:cstheme="minorHAnsi"/>
          <w:sz w:val="20"/>
        </w:rPr>
        <w:t>.  Under the Data Protection Act 1998 (DPA 1998), Data Controllers previously had 40 calendar days to respond to a request.</w:t>
      </w:r>
    </w:p>
    <w:p w:rsidR="005F1770"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As the time for responding to a request does not stop during the periods when </w:t>
      </w:r>
      <w:r w:rsidR="001F40B8"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is closed for the holidays, we will attempt to mitigate any impact this may have on the rights of data subjects to request access to their data by implementing the following measures:</w:t>
      </w:r>
      <w:r w:rsidR="005F1770" w:rsidRPr="00D51FA6">
        <w:rPr>
          <w:rFonts w:asciiTheme="minorHAnsi" w:hAnsiTheme="minorHAnsi" w:cstheme="minorHAnsi"/>
          <w:sz w:val="20"/>
        </w:rPr>
        <w:t xml:space="preserve"> </w:t>
      </w:r>
    </w:p>
    <w:p w:rsidR="00972F97" w:rsidRPr="00D51FA6" w:rsidRDefault="005F1770"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Requests during school closure should be made via email to the DPO</w:t>
      </w:r>
      <w:r w:rsidR="00972F97" w:rsidRPr="00D51FA6">
        <w:rPr>
          <w:rFonts w:asciiTheme="minorHAnsi" w:hAnsiTheme="minorHAnsi" w:cstheme="minorHAnsi"/>
          <w:sz w:val="20"/>
        </w:rPr>
        <w:t>.</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A fee may no longer be charged to the individual for provision of this information (previously a fee of £10 could be charged under the DPA 1998).</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may ask the Data Subject for reasonable identification so that they can satisfy themselves about the person’s identity before disclosing the information.</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In order to ensure that people receive only information about themselves it is essential that a formal system of requests is in place.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Requests from pupils who do not appear to understand the nature of the request will be referred to their Parents or carers.</w:t>
      </w:r>
    </w:p>
    <w:p w:rsidR="004D325B"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Requests from Parents in respect of their own child will be processed as requests made on behalf of the Data Subject (the child) where the pupil is aged under 13 (subject to any exemptions that apply under the Act or other legislation).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It should be noted that the Education (Pupil Information) (England) Regulations 2005 </w:t>
      </w:r>
      <w:r w:rsidR="00642DAE" w:rsidRPr="00D51FA6">
        <w:rPr>
          <w:rFonts w:asciiTheme="minorHAnsi" w:hAnsiTheme="minorHAnsi" w:cstheme="minorHAnsi"/>
          <w:sz w:val="20"/>
        </w:rPr>
        <w:t>(the “Regulations”) applies to maintained schools</w:t>
      </w:r>
      <w:r w:rsidRPr="00D51FA6">
        <w:rPr>
          <w:rFonts w:asciiTheme="minorHAnsi" w:hAnsiTheme="minorHAnsi" w:cstheme="minorHAnsi"/>
          <w:sz w:val="20"/>
        </w:rPr>
        <w:t xml:space="preserve"> so the rights available to parents in those Regulations to access their child’s educational records </w:t>
      </w:r>
      <w:r w:rsidR="00642DAE" w:rsidRPr="00D51FA6">
        <w:rPr>
          <w:rFonts w:asciiTheme="minorHAnsi" w:hAnsiTheme="minorHAnsi" w:cstheme="minorHAnsi"/>
          <w:sz w:val="20"/>
        </w:rPr>
        <w:t>apply to the School</w:t>
      </w:r>
      <w:r w:rsidRPr="00D51FA6">
        <w:rPr>
          <w:rFonts w:asciiTheme="minorHAnsi" w:hAnsiTheme="minorHAnsi" w:cstheme="minorHAnsi"/>
          <w:sz w:val="20"/>
        </w:rPr>
        <w:t xml:space="preserve">.  </w:t>
      </w:r>
      <w:r w:rsidR="00642DAE" w:rsidRPr="00D51FA6">
        <w:rPr>
          <w:rFonts w:asciiTheme="minorHAnsi" w:hAnsiTheme="minorHAnsi" w:cstheme="minorHAnsi"/>
          <w:sz w:val="20"/>
        </w:rPr>
        <w:t>This means that following receipt of a request from a parent for a copy of their child’s educational records, the School must provide a copy within 15 school days, subject to any exemptions or court orders which may apply.  The School may charge a fee for providing a copy of the educational record, depending on the number of pages as set out in the Regulations</w:t>
      </w:r>
      <w:r w:rsidRPr="00D51FA6">
        <w:rPr>
          <w:rFonts w:asciiTheme="minorHAnsi" w:hAnsiTheme="minorHAnsi" w:cstheme="minorHAnsi"/>
          <w:sz w:val="20"/>
        </w:rPr>
        <w:t>.</w:t>
      </w:r>
      <w:r w:rsidR="00642DAE" w:rsidRPr="00D51FA6">
        <w:rPr>
          <w:rFonts w:asciiTheme="minorHAnsi" w:hAnsiTheme="minorHAnsi" w:cstheme="minorHAnsi"/>
          <w:sz w:val="20"/>
        </w:rPr>
        <w:t xml:space="preserve">  This is a separate statutory right that parents of children who attend maintained schools have so such requests should not be treated as a subject access request.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Following receipt of a subject access request, and provided that there is sufficient information to process the request, an entry should be made in the </w:t>
      </w:r>
      <w:r w:rsidR="00642DAE" w:rsidRPr="00D51FA6">
        <w:rPr>
          <w:rFonts w:asciiTheme="minorHAnsi" w:hAnsiTheme="minorHAnsi" w:cstheme="minorHAnsi"/>
          <w:sz w:val="20"/>
        </w:rPr>
        <w:t>School</w:t>
      </w:r>
      <w:r w:rsidRPr="00D51FA6">
        <w:rPr>
          <w:rFonts w:asciiTheme="minorHAnsi" w:hAnsiTheme="minorHAnsi" w:cstheme="minorHAnsi"/>
          <w:sz w:val="20"/>
        </w:rPr>
        <w:t>’s Subject Access log book, showing the date of receipt, the Data Subject’s name, the name and address of requester (if different), the type of data required (e.g. Student Record, Personnel Record), and the planned date for supplying the information (not more than one calendar month from the request date).  Should more information be required to establish either the identity of the Data Subject (or agent) or the type of data requested, the date of entry in the log will be date on which sufficient information has been provided.</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Where requests are “manifestly unfounded or excessive”, in particular because they are repetitive,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can:</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charge a reasonable fee taking into account the administrative costs of providing the information; or</w:t>
      </w:r>
    </w:p>
    <w:p w:rsidR="00972F97" w:rsidRPr="00D51FA6" w:rsidRDefault="00972F97"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sz w:val="20"/>
        </w:rPr>
        <w:t>refuse</w:t>
      </w:r>
      <w:proofErr w:type="gramEnd"/>
      <w:r w:rsidRPr="00D51FA6">
        <w:rPr>
          <w:rFonts w:asciiTheme="minorHAnsi" w:hAnsiTheme="minorHAnsi" w:cstheme="minorHAnsi"/>
          <w:sz w:val="20"/>
        </w:rPr>
        <w:t xml:space="preserve"> to respond.</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w:t>
      </w:r>
      <w:r w:rsidR="001F40B8" w:rsidRPr="00D51FA6">
        <w:rPr>
          <w:rFonts w:asciiTheme="minorHAnsi" w:hAnsiTheme="minorHAnsi" w:cstheme="minorHAnsi"/>
          <w:sz w:val="20"/>
        </w:rPr>
        <w:t>and consult the DPO</w:t>
      </w:r>
      <w:r w:rsidRPr="00D51FA6">
        <w:rPr>
          <w:rFonts w:asciiTheme="minorHAnsi" w:hAnsiTheme="minorHAnsi" w:cstheme="minorHAnsi"/>
          <w:sz w:val="20"/>
        </w:rPr>
        <w:t xml:space="preserve"> before refusing a request.</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In the c</w:t>
      </w:r>
      <w:r w:rsidR="00642DAE" w:rsidRPr="00D51FA6">
        <w:rPr>
          <w:rFonts w:asciiTheme="minorHAnsi" w:hAnsiTheme="minorHAnsi" w:cstheme="minorHAnsi"/>
          <w:sz w:val="20"/>
        </w:rPr>
        <w:t>ontext of a</w:t>
      </w:r>
      <w:r w:rsidRPr="00D51FA6">
        <w:rPr>
          <w:rFonts w:asciiTheme="minorHAnsi" w:hAnsiTheme="minorHAnsi" w:cstheme="minorHAnsi"/>
          <w:sz w:val="20"/>
        </w:rPr>
        <w:t xml:space="preserv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a subject access request is normally part of a broader complaint or concern from a Parent or may be connected to a disciplinary or grievance for an employee.  Members of staff should therefore ensure that the broader context is taken into account when responding to a request and seek advice if required on managing the broader issue and the response to the request.</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Providing information over the telephone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Any member of staff dealing with telephone enquiries should be careful about disclosing any Personal Data held by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whilst also applying common sense to the particular circumstances. In particular they should: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Check the caller’s identity to make sure that information is only given to a person who is entitled to it.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Suggest that the caller put their request in writing if they are not sure about the caller’s identity and where their identity cannot be checked.</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Refer to their line manager or the DPO for assistance in difficult situations. No-one should feel pressurised into disclosing personal information.</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Authorised disclosures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only disclose data about individuals if one of the lawful bases apply.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Only authorised and trained staff are allowed to make external disclosures of Personal Data.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will regularly share Personal Data with third parties where it is lawful and appropriate to do so including, but not limited to, the following:</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Local Authorities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Department for Education</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Disclosure and Barring Service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Teaching Regulation Agency</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Teachers’ Pension Service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the Local Government Pension Scheme which is administered by </w:t>
      </w:r>
      <w:r w:rsidR="00400C3F" w:rsidRPr="00D51FA6">
        <w:rPr>
          <w:rFonts w:asciiTheme="minorHAnsi" w:hAnsiTheme="minorHAnsi" w:cstheme="minorHAnsi"/>
          <w:sz w:val="20"/>
        </w:rPr>
        <w:t>HCC</w:t>
      </w:r>
    </w:p>
    <w:p w:rsidR="00972F97" w:rsidRPr="00D51FA6" w:rsidRDefault="00400C3F"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HCC</w:t>
      </w:r>
      <w:r w:rsidR="00972F97" w:rsidRPr="00D51FA6">
        <w:rPr>
          <w:rFonts w:asciiTheme="minorHAnsi" w:hAnsiTheme="minorHAnsi" w:cstheme="minorHAnsi"/>
          <w:sz w:val="20"/>
        </w:rPr>
        <w:t xml:space="preserve"> HR </w:t>
      </w:r>
    </w:p>
    <w:p w:rsidR="00972F97" w:rsidRPr="00D51FA6" w:rsidRDefault="00400C3F"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SERCO</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Our external IT Provider</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HMRC</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Police or other law enforcement agencies</w:t>
      </w:r>
    </w:p>
    <w:p w:rsidR="00972F97" w:rsidRPr="00D51FA6" w:rsidRDefault="00400C3F"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HCC Legal</w:t>
      </w:r>
    </w:p>
    <w:p w:rsidR="00972F97" w:rsidRPr="00D51FA6" w:rsidRDefault="00400C3F"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HCC Insurance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occupational health advisors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exam boards including </w:t>
      </w:r>
      <w:r w:rsidR="005F1770" w:rsidRPr="00D51FA6">
        <w:rPr>
          <w:rFonts w:asciiTheme="minorHAnsi" w:hAnsiTheme="minorHAnsi" w:cstheme="minorHAnsi"/>
          <w:sz w:val="20"/>
        </w:rPr>
        <w:t>STA</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NHS health professionals including educational psychologists and school nurses;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Education Welfare Officers;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Courts, if ordered to do so;</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Prevent teams in accordance with the Prevent Duty on schools;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other schools, for example, if we are negotiating a managed move and we have Consent to share information in these circumstances;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confidential waste collection companies;</w:t>
      </w:r>
    </w:p>
    <w:p w:rsidR="00972F97" w:rsidRPr="00D51FA6" w:rsidRDefault="005F1770"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Attendance Improvement Officers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Some of the organisations we share Personal Data with may also be Data Controllers in their own right in which case we will be jointly controllers of Personal Data and may be jointly liable in the event of any data breaches.  </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All Data Sharing Agreem</w:t>
      </w:r>
      <w:r w:rsidR="001F40B8" w:rsidRPr="00D51FA6">
        <w:rPr>
          <w:rFonts w:asciiTheme="minorHAnsi" w:hAnsiTheme="minorHAnsi" w:cstheme="minorHAnsi"/>
          <w:sz w:val="20"/>
        </w:rPr>
        <w:t xml:space="preserve">ents must be signed off by the </w:t>
      </w:r>
      <w:r w:rsidRPr="00D51FA6">
        <w:rPr>
          <w:rFonts w:asciiTheme="minorHAnsi" w:hAnsiTheme="minorHAnsi" w:cstheme="minorHAnsi"/>
          <w:sz w:val="20"/>
        </w:rPr>
        <w:t>Data Protection Officer who will keep a register of all Data Sharing Agreements.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GDPR requires Data Controllers to have a written contract in place with Data Processors which must include specific clauses relating to the way in which the data is Processed (“GDPR clauses”).  A summary of the GDPR </w:t>
      </w:r>
      <w:r w:rsidR="001F40B8" w:rsidRPr="00D51FA6">
        <w:rPr>
          <w:rFonts w:asciiTheme="minorHAnsi" w:hAnsiTheme="minorHAnsi" w:cstheme="minorHAnsi"/>
          <w:sz w:val="20"/>
        </w:rPr>
        <w:t>requirements for contracts with Data Processors</w:t>
      </w:r>
      <w:r w:rsidRPr="00D51FA6">
        <w:rPr>
          <w:rFonts w:asciiTheme="minorHAnsi" w:hAnsiTheme="minorHAnsi" w:cstheme="minorHAnsi"/>
          <w:sz w:val="20"/>
        </w:rPr>
        <w:t xml:space="preserve"> is set out in Appendix 1.  It will be the responsibility of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to ensure that the GDPR clauses have been added to the contract with the Data Processor.   Personal data may only be transferred to a third-party Data Processor if they agree to put in place adequate technical, organisational and security measures themselves.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In some cases Data Processors may attempt to include additional wording when negotiating contracts which attempts to allocate some of the risk relating to compliance with the GDPR, including responsibility for any Personal Data Breaches, onto the </w:t>
      </w:r>
      <w:r w:rsidR="00642DAE" w:rsidRPr="00D51FA6">
        <w:rPr>
          <w:rFonts w:asciiTheme="minorHAnsi" w:hAnsiTheme="minorHAnsi" w:cstheme="minorHAnsi"/>
          <w:sz w:val="20"/>
        </w:rPr>
        <w:t>School</w:t>
      </w:r>
      <w:r w:rsidRPr="00D51FA6">
        <w:rPr>
          <w:rFonts w:asciiTheme="minorHAnsi" w:hAnsiTheme="minorHAnsi" w:cstheme="minorHAnsi"/>
          <w:sz w:val="20"/>
        </w:rPr>
        <w:t>.  In these circumstances, the member of staff dealing with the contract should contact the DPO for further advice before agreeing to include such wording in the contract.</w:t>
      </w:r>
    </w:p>
    <w:p w:rsidR="00D51FA6" w:rsidRDefault="00D51FA6" w:rsidP="007E15FB">
      <w:pPr>
        <w:pStyle w:val="AnnexureHeading1"/>
        <w:numPr>
          <w:ilvl w:val="0"/>
          <w:numId w:val="0"/>
        </w:numPr>
        <w:spacing w:before="0" w:after="0"/>
        <w:ind w:left="851"/>
        <w:jc w:val="left"/>
        <w:rPr>
          <w:rFonts w:asciiTheme="minorHAnsi" w:hAnsiTheme="minorHAnsi" w:cstheme="minorHAnsi"/>
          <w:b/>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Reporting a Personal Data Breach</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The GDPR requires Data Controllers to notify any Personal Data Breach to the ICO and, in certain instances, the Data Subject.</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A notifiable Personal Data Breach must be reported to the ICO without undue delay and where feasible within 72 hours, unless the data breach is unlikely to result in a risk to the individuals.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If the breach is likely to result in high risk to affected Data Subjects, the GDPR, requires organisations to inform them without undue delay.</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It is the responsibility of the DPO, or the nominated deputy, to decide whether to report a Personal Data Breach to the ICO.</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We have put in place procedures to deal with any suspected Personal Data Breach and will notify Data Subjects or any applicable regulator where we are legally required to do so.  </w:t>
      </w:r>
    </w:p>
    <w:p w:rsidR="00972F97" w:rsidRPr="00D51FA6" w:rsidRDefault="00642DAE"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As</w:t>
      </w:r>
      <w:r w:rsidR="00972F97" w:rsidRPr="00D51FA6">
        <w:rPr>
          <w:rFonts w:asciiTheme="minorHAnsi" w:hAnsiTheme="minorHAnsi" w:cstheme="minorHAnsi"/>
          <w:sz w:val="20"/>
        </w:rPr>
        <w:t xml:space="preserve"> </w:t>
      </w:r>
      <w:r w:rsidR="001F40B8" w:rsidRPr="00D51FA6">
        <w:rPr>
          <w:rFonts w:asciiTheme="minorHAnsi" w:hAnsiTheme="minorHAnsi" w:cstheme="minorHAnsi"/>
          <w:sz w:val="20"/>
        </w:rPr>
        <w:t xml:space="preserve">the </w:t>
      </w:r>
      <w:r w:rsidRPr="00D51FA6">
        <w:rPr>
          <w:rFonts w:asciiTheme="minorHAnsi" w:hAnsiTheme="minorHAnsi" w:cstheme="minorHAnsi"/>
          <w:sz w:val="20"/>
        </w:rPr>
        <w:t>School</w:t>
      </w:r>
      <w:r w:rsidR="001F40B8" w:rsidRPr="00D51FA6">
        <w:rPr>
          <w:rFonts w:asciiTheme="minorHAnsi" w:hAnsiTheme="minorHAnsi" w:cstheme="minorHAnsi"/>
          <w:sz w:val="20"/>
        </w:rPr>
        <w:t xml:space="preserve"> is closed or has</w:t>
      </w:r>
      <w:r w:rsidR="00972F97" w:rsidRPr="00D51FA6">
        <w:rPr>
          <w:rFonts w:asciiTheme="minorHAnsi" w:hAnsiTheme="minorHAnsi" w:cstheme="minorHAnsi"/>
          <w:sz w:val="20"/>
        </w:rPr>
        <w:t xml:space="preserve">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when we develop our</w:t>
      </w:r>
      <w:r w:rsidR="002A797E" w:rsidRPr="00D51FA6">
        <w:rPr>
          <w:rFonts w:asciiTheme="minorHAnsi" w:hAnsiTheme="minorHAnsi" w:cstheme="minorHAnsi"/>
          <w:sz w:val="20"/>
        </w:rPr>
        <w:t xml:space="preserve"> Data Breach Response Plan</w:t>
      </w:r>
      <w:r w:rsidR="00972F97" w:rsidRPr="00D51FA6">
        <w:rPr>
          <w:rFonts w:asciiTheme="minorHAnsi" w:hAnsiTheme="minorHAnsi" w:cstheme="minorHAnsi"/>
          <w:sz w:val="20"/>
        </w:rPr>
        <w:t>.</w:t>
      </w:r>
    </w:p>
    <w:p w:rsidR="00972F97" w:rsidRPr="00D51FA6" w:rsidRDefault="001F40B8"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If a member of staff or</w:t>
      </w:r>
      <w:r w:rsidR="00972F97" w:rsidRPr="00D51FA6">
        <w:rPr>
          <w:rFonts w:asciiTheme="minorHAnsi" w:hAnsiTheme="minorHAnsi" w:cstheme="minorHAnsi"/>
          <w:sz w:val="20"/>
        </w:rPr>
        <w:t xml:space="preserve"> </w:t>
      </w:r>
      <w:r w:rsidR="00642DAE" w:rsidRPr="00D51FA6">
        <w:rPr>
          <w:rFonts w:asciiTheme="minorHAnsi" w:hAnsiTheme="minorHAnsi" w:cstheme="minorHAnsi"/>
          <w:sz w:val="20"/>
        </w:rPr>
        <w:t>governor</w:t>
      </w:r>
      <w:r w:rsidR="00972F97" w:rsidRPr="00D51FA6">
        <w:rPr>
          <w:rFonts w:asciiTheme="minorHAnsi" w:hAnsiTheme="minorHAnsi" w:cstheme="minorHAnsi"/>
          <w:sz w:val="20"/>
        </w:rPr>
        <w:t xml:space="preserve"> knows or suspects that a Personal Data Breach has occurred, </w:t>
      </w:r>
      <w:r w:rsidR="002A797E" w:rsidRPr="00D51FA6">
        <w:rPr>
          <w:rFonts w:asciiTheme="minorHAnsi" w:hAnsiTheme="minorHAnsi" w:cstheme="minorHAnsi"/>
          <w:sz w:val="20"/>
        </w:rPr>
        <w:t xml:space="preserve">our Data Breach Response Plan must </w:t>
      </w:r>
      <w:r w:rsidR="00972F97" w:rsidRPr="00D51FA6">
        <w:rPr>
          <w:rFonts w:asciiTheme="minorHAnsi" w:hAnsiTheme="minorHAnsi" w:cstheme="minorHAnsi"/>
          <w:sz w:val="20"/>
        </w:rPr>
        <w:t xml:space="preserve">be followed.  In particular, the DPO or such other person identified in our </w:t>
      </w:r>
      <w:r w:rsidR="002A797E" w:rsidRPr="00D51FA6">
        <w:rPr>
          <w:rFonts w:asciiTheme="minorHAnsi" w:hAnsiTheme="minorHAnsi" w:cstheme="minorHAnsi"/>
          <w:sz w:val="20"/>
        </w:rPr>
        <w:t>Data Breach</w:t>
      </w:r>
      <w:r w:rsidR="00972F97" w:rsidRPr="00D51FA6">
        <w:rPr>
          <w:rFonts w:asciiTheme="minorHAnsi" w:hAnsiTheme="minorHAnsi" w:cstheme="minorHAnsi"/>
          <w:sz w:val="20"/>
        </w:rPr>
        <w:t xml:space="preserve"> Response Plan must be notified immediately.  You should preserve all evidence relating to the potential Personal Data Breach.  </w:t>
      </w:r>
    </w:p>
    <w:p w:rsidR="00400C3F" w:rsidRPr="00D51FA6" w:rsidRDefault="00400C3F" w:rsidP="007E15FB">
      <w:pPr>
        <w:pStyle w:val="AnnexureHeading2"/>
        <w:numPr>
          <w:ilvl w:val="0"/>
          <w:numId w:val="0"/>
        </w:numPr>
        <w:spacing w:before="0" w:after="0"/>
        <w:ind w:left="851"/>
        <w:jc w:val="left"/>
        <w:rPr>
          <w:rFonts w:asciiTheme="minorHAnsi" w:hAnsiTheme="minorHAnsi" w:cstheme="minorHAnsi"/>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Accountability</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must implement appropriate technical and organisational measures in an effective manner, to ensure compliance with data protection principles.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is responsible for, and must be able to demonstrate, compliance with the data protection principles.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must have adequate resources and controls in place to ensure and to document GDPR compliance including:</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appointing a suitably qualified DPO (where necessary) and an executive team accountable for data privacy;</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implementing Privacy by Design when Processing Personal Data and completing Data Protection Impact Assessments (DPIAs) where Processing presents a high risk to rights and freedoms of Data Subjects;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integrating data protection into internal documents including this Data Protection Policy, related policies and Privacy Notices;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reg</w:t>
      </w:r>
      <w:r w:rsidR="001F40B8" w:rsidRPr="00D51FA6">
        <w:rPr>
          <w:rFonts w:asciiTheme="minorHAnsi" w:hAnsiTheme="minorHAnsi" w:cstheme="minorHAnsi"/>
          <w:sz w:val="20"/>
        </w:rPr>
        <w:t xml:space="preserve">ularly training </w:t>
      </w:r>
      <w:r w:rsidR="00642DAE" w:rsidRPr="00D51FA6">
        <w:rPr>
          <w:rFonts w:asciiTheme="minorHAnsi" w:hAnsiTheme="minorHAnsi" w:cstheme="minorHAnsi"/>
          <w:sz w:val="20"/>
        </w:rPr>
        <w:t>e</w:t>
      </w:r>
      <w:r w:rsidR="001F40B8" w:rsidRPr="00D51FA6">
        <w:rPr>
          <w:rFonts w:asciiTheme="minorHAnsi" w:hAnsiTheme="minorHAnsi" w:cstheme="minorHAnsi"/>
          <w:sz w:val="20"/>
        </w:rPr>
        <w:t>mployees and</w:t>
      </w:r>
      <w:r w:rsidRPr="00D51FA6">
        <w:rPr>
          <w:rFonts w:asciiTheme="minorHAnsi" w:hAnsiTheme="minorHAnsi" w:cstheme="minorHAnsi"/>
          <w:sz w:val="20"/>
        </w:rPr>
        <w:t xml:space="preserve"> </w:t>
      </w:r>
      <w:r w:rsidR="00642DAE" w:rsidRPr="00D51FA6">
        <w:rPr>
          <w:rFonts w:asciiTheme="minorHAnsi" w:hAnsiTheme="minorHAnsi" w:cstheme="minorHAnsi"/>
          <w:sz w:val="20"/>
        </w:rPr>
        <w:t>governors</w:t>
      </w:r>
      <w:r w:rsidRPr="00D51FA6">
        <w:rPr>
          <w:rFonts w:asciiTheme="minorHAnsi" w:hAnsiTheme="minorHAnsi" w:cstheme="minorHAnsi"/>
          <w:sz w:val="20"/>
        </w:rPr>
        <w:t xml:space="preserve"> on the GDPR, this Data Protection Policy, related policies and data protection matters including, for example, Data Subject’s rights, Consent, legal bases, DPIA and Personal Data Breaches. 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must maintain a record of training attendance by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personnel; and</w:t>
      </w:r>
    </w:p>
    <w:p w:rsidR="00972F97" w:rsidRDefault="00972F97"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sz w:val="20"/>
        </w:rPr>
        <w:t>regularly</w:t>
      </w:r>
      <w:proofErr w:type="gramEnd"/>
      <w:r w:rsidRPr="00D51FA6">
        <w:rPr>
          <w:rFonts w:asciiTheme="minorHAnsi" w:hAnsiTheme="minorHAnsi" w:cstheme="minorHAnsi"/>
          <w:sz w:val="20"/>
        </w:rPr>
        <w:t xml:space="preserve"> testing the privacy measures implemented and conducting periodic reviews and audits to assess compliance, including using results of testing to demonstrate compliance improvement effort.</w:t>
      </w:r>
    </w:p>
    <w:p w:rsidR="007E15FB" w:rsidRPr="00D51FA6" w:rsidRDefault="007E15FB" w:rsidP="007E15FB">
      <w:pPr>
        <w:pStyle w:val="AnnexureHeading3"/>
        <w:numPr>
          <w:ilvl w:val="0"/>
          <w:numId w:val="0"/>
        </w:numPr>
        <w:spacing w:before="0" w:after="0"/>
        <w:ind w:left="1701"/>
        <w:jc w:val="left"/>
        <w:rPr>
          <w:rFonts w:asciiTheme="minorHAnsi" w:hAnsiTheme="minorHAnsi" w:cstheme="minorHAnsi"/>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Record keeping</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The GDPR requires us to keep full and accurate records of all our Data Processing activities.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We must keep and maintain accurate records reflecting our Processing including records of Data Subjects’ Consents and procedures for obtaining Consents.</w:t>
      </w:r>
    </w:p>
    <w:p w:rsid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534E94" w:rsidRPr="00D51FA6" w:rsidRDefault="00534E94" w:rsidP="007E15FB">
      <w:pPr>
        <w:pStyle w:val="AnnexureHeading2"/>
        <w:numPr>
          <w:ilvl w:val="0"/>
          <w:numId w:val="0"/>
        </w:numPr>
        <w:spacing w:before="0" w:after="0"/>
        <w:ind w:left="851"/>
        <w:jc w:val="left"/>
        <w:rPr>
          <w:rFonts w:asciiTheme="minorHAnsi" w:hAnsiTheme="minorHAnsi" w:cstheme="minorHAnsi"/>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Training and audit</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We are required to ensure all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personnel have undergone adequate training to enable us to comply with data privacy laws. We must also regularly test our systems and processes to assess compliance.</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Members of staff must attend all mandatory data privacy related training.</w:t>
      </w:r>
    </w:p>
    <w:p w:rsidR="00400C3F" w:rsidRPr="00D51FA6" w:rsidRDefault="00400C3F" w:rsidP="007E15FB">
      <w:pPr>
        <w:pStyle w:val="AnnexureHeading2"/>
        <w:numPr>
          <w:ilvl w:val="0"/>
          <w:numId w:val="0"/>
        </w:numPr>
        <w:spacing w:before="0" w:after="0"/>
        <w:ind w:left="851"/>
        <w:jc w:val="left"/>
        <w:rPr>
          <w:rFonts w:asciiTheme="minorHAnsi" w:hAnsiTheme="minorHAnsi" w:cstheme="minorHAnsi"/>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Privacy By Design and Data Protection Impact Assessment (DPIA)</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We are required to implement Privacy by Design measures when Processing Personal Data by implementing appropriate technical and organisational measures (like </w:t>
      </w:r>
      <w:proofErr w:type="spellStart"/>
      <w:r w:rsidRPr="00D51FA6">
        <w:rPr>
          <w:rFonts w:asciiTheme="minorHAnsi" w:hAnsiTheme="minorHAnsi" w:cstheme="minorHAnsi"/>
          <w:sz w:val="20"/>
        </w:rPr>
        <w:t>Pseudonymisation</w:t>
      </w:r>
      <w:proofErr w:type="spellEnd"/>
      <w:r w:rsidRPr="00D51FA6">
        <w:rPr>
          <w:rFonts w:asciiTheme="minorHAnsi" w:hAnsiTheme="minorHAnsi" w:cstheme="minorHAnsi"/>
          <w:sz w:val="20"/>
        </w:rPr>
        <w:t>) in an effective manner, to ensure compliance with data privacy principles.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This means that we must assess what Privacy by Design measures can be implemented on all programs/systems/processes that Process Personal Data by taking into account the following:</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state of the art;</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cost of implementation;</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the nature, scope, context and purposes of Processing; and</w:t>
      </w:r>
    </w:p>
    <w:p w:rsidR="00972F97" w:rsidRPr="00D51FA6" w:rsidRDefault="00972F97"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sz w:val="20"/>
        </w:rPr>
        <w:t>the</w:t>
      </w:r>
      <w:proofErr w:type="gramEnd"/>
      <w:r w:rsidRPr="00D51FA6">
        <w:rPr>
          <w:rFonts w:asciiTheme="minorHAnsi" w:hAnsiTheme="minorHAnsi" w:cstheme="minorHAnsi"/>
          <w:sz w:val="20"/>
        </w:rPr>
        <w:t xml:space="preserve"> risks of varying likelihood and severity for rights and freedoms of Data Subjects posed by the Processing.</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We are also required to conduct DPIAs in respect to high risk Processing.</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The </w:t>
      </w:r>
      <w:r w:rsidR="00642DAE" w:rsidRPr="00D51FA6">
        <w:rPr>
          <w:rFonts w:asciiTheme="minorHAnsi" w:hAnsiTheme="minorHAnsi" w:cstheme="minorHAnsi"/>
          <w:sz w:val="20"/>
        </w:rPr>
        <w:t>School</w:t>
      </w:r>
      <w:r w:rsidRPr="00D51FA6">
        <w:rPr>
          <w:rFonts w:asciiTheme="minorHAnsi" w:hAnsiTheme="minorHAnsi" w:cstheme="minorHAnsi"/>
          <w:sz w:val="20"/>
        </w:rPr>
        <w:t xml:space="preserve"> should conduct a DPIA and discuss </w:t>
      </w:r>
      <w:r w:rsidR="001F40B8" w:rsidRPr="00D51FA6">
        <w:rPr>
          <w:rFonts w:asciiTheme="minorHAnsi" w:hAnsiTheme="minorHAnsi" w:cstheme="minorHAnsi"/>
          <w:sz w:val="20"/>
        </w:rPr>
        <w:t>the</w:t>
      </w:r>
      <w:r w:rsidRPr="00D51FA6">
        <w:rPr>
          <w:rFonts w:asciiTheme="minorHAnsi" w:hAnsiTheme="minorHAnsi" w:cstheme="minorHAnsi"/>
          <w:sz w:val="20"/>
        </w:rPr>
        <w:t xml:space="preserve"> findings with the DPO when implementing major system or business change programs involving the Processing of Personal Data including:</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use of new technologies (programs, systems or processes), or changing technologies (programs, systems or processes);</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Automated Processing including profiling and ADM;</w:t>
      </w:r>
    </w:p>
    <w:p w:rsidR="00972F97" w:rsidRPr="00D51FA6" w:rsidRDefault="00972F97" w:rsidP="007E15FB">
      <w:pPr>
        <w:pStyle w:val="AnnexureHeading4"/>
        <w:spacing w:before="0" w:after="0"/>
        <w:jc w:val="left"/>
        <w:rPr>
          <w:rFonts w:asciiTheme="minorHAnsi" w:hAnsiTheme="minorHAnsi" w:cstheme="minorHAnsi"/>
          <w:sz w:val="20"/>
        </w:rPr>
      </w:pPr>
      <w:r w:rsidRPr="00D51FA6">
        <w:rPr>
          <w:rFonts w:asciiTheme="minorHAnsi" w:hAnsiTheme="minorHAnsi" w:cstheme="minorHAnsi"/>
          <w:sz w:val="20"/>
        </w:rPr>
        <w:t>large scale Processing of Sensitive Data; and</w:t>
      </w:r>
    </w:p>
    <w:p w:rsidR="00972F97" w:rsidRPr="00D51FA6" w:rsidRDefault="00972F97" w:rsidP="007E15FB">
      <w:pPr>
        <w:pStyle w:val="AnnexureHeading4"/>
        <w:spacing w:before="0" w:after="0"/>
        <w:jc w:val="left"/>
        <w:rPr>
          <w:rFonts w:asciiTheme="minorHAnsi" w:hAnsiTheme="minorHAnsi" w:cstheme="minorHAnsi"/>
          <w:sz w:val="20"/>
        </w:rPr>
      </w:pPr>
      <w:proofErr w:type="gramStart"/>
      <w:r w:rsidRPr="00D51FA6">
        <w:rPr>
          <w:rFonts w:asciiTheme="minorHAnsi" w:hAnsiTheme="minorHAnsi" w:cstheme="minorHAnsi"/>
          <w:sz w:val="20"/>
        </w:rPr>
        <w:t>large</w:t>
      </w:r>
      <w:proofErr w:type="gramEnd"/>
      <w:r w:rsidRPr="00D51FA6">
        <w:rPr>
          <w:rFonts w:asciiTheme="minorHAnsi" w:hAnsiTheme="minorHAnsi" w:cstheme="minorHAnsi"/>
          <w:sz w:val="20"/>
        </w:rPr>
        <w:t xml:space="preserve"> scale, systematic monitoring of a publicly accessible area.</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We will also undertake a DPIA as a matter of good practice to help us to assess and mitigate the risks to pupils.  If our processing is likely to result in a high risk to the rights and freedom of children then a DPIA should be undertaken.</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A DPIA must include: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 xml:space="preserve">a description of the Processing, its purposes and the </w:t>
      </w:r>
      <w:r w:rsidR="00642DAE" w:rsidRPr="00D51FA6">
        <w:rPr>
          <w:rFonts w:asciiTheme="minorHAnsi" w:hAnsiTheme="minorHAnsi" w:cstheme="minorHAnsi"/>
          <w:sz w:val="20"/>
        </w:rPr>
        <w:t>School</w:t>
      </w:r>
      <w:r w:rsidRPr="00D51FA6">
        <w:rPr>
          <w:rFonts w:asciiTheme="minorHAnsi" w:hAnsiTheme="minorHAnsi" w:cstheme="minorHAnsi"/>
          <w:sz w:val="20"/>
        </w:rPr>
        <w:t>’s legitimate interests if appropriate;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an assessment of the necessity and proportionality of the Processing in relation to its purpose;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sz w:val="20"/>
        </w:rPr>
        <w:t>an assessment of the risk to individuals; and</w:t>
      </w:r>
    </w:p>
    <w:p w:rsidR="00972F97" w:rsidRPr="00D51FA6" w:rsidRDefault="00972F97"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sz w:val="20"/>
        </w:rPr>
        <w:t>the</w:t>
      </w:r>
      <w:proofErr w:type="gramEnd"/>
      <w:r w:rsidRPr="00D51FA6">
        <w:rPr>
          <w:rFonts w:asciiTheme="minorHAnsi" w:hAnsiTheme="minorHAnsi" w:cstheme="minorHAnsi"/>
          <w:sz w:val="20"/>
        </w:rPr>
        <w:t xml:space="preserve"> risk mitigation measures in place and demonstration of compliance.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color w:val="000000"/>
          <w:sz w:val="20"/>
          <w:lang w:eastAsia="en-GB"/>
        </w:rPr>
        <w:t>increase personal safety and reduce the fear of crime;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color w:val="000000"/>
          <w:sz w:val="20"/>
          <w:lang w:eastAsia="en-GB"/>
        </w:rPr>
        <w:t>support the Police in a bid to deter and detect crime;</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color w:val="000000"/>
          <w:sz w:val="20"/>
          <w:lang w:eastAsia="en-GB"/>
        </w:rPr>
        <w:t>assist in identifying, apprehending and prosecuting offenders;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color w:val="000000"/>
          <w:sz w:val="20"/>
          <w:lang w:eastAsia="en-GB"/>
        </w:rPr>
        <w:t xml:space="preserve">provide evidence for the </w:t>
      </w:r>
      <w:r w:rsidR="00642DAE" w:rsidRPr="00D51FA6">
        <w:rPr>
          <w:rFonts w:asciiTheme="minorHAnsi" w:hAnsiTheme="minorHAnsi" w:cstheme="minorHAnsi"/>
          <w:color w:val="000000"/>
          <w:sz w:val="20"/>
          <w:lang w:eastAsia="en-GB"/>
        </w:rPr>
        <w:t>School</w:t>
      </w:r>
      <w:r w:rsidRPr="00D51FA6">
        <w:rPr>
          <w:rFonts w:asciiTheme="minorHAnsi" w:hAnsiTheme="minorHAnsi" w:cstheme="minorHAnsi"/>
          <w:color w:val="000000"/>
          <w:sz w:val="20"/>
          <w:lang w:eastAsia="en-GB"/>
        </w:rPr>
        <w:t xml:space="preserve"> to use in its internal investigations and / or disciplinary processes in the event of behaviour by staff, pupils or other visitors on the site which breaches or is alleged to breach the </w:t>
      </w:r>
      <w:r w:rsidR="00642DAE" w:rsidRPr="00D51FA6">
        <w:rPr>
          <w:rFonts w:asciiTheme="minorHAnsi" w:hAnsiTheme="minorHAnsi" w:cstheme="minorHAnsi"/>
          <w:color w:val="000000"/>
          <w:sz w:val="20"/>
          <w:lang w:eastAsia="en-GB"/>
        </w:rPr>
        <w:t>School</w:t>
      </w:r>
      <w:r w:rsidRPr="00D51FA6">
        <w:rPr>
          <w:rFonts w:asciiTheme="minorHAnsi" w:hAnsiTheme="minorHAnsi" w:cstheme="minorHAnsi"/>
          <w:color w:val="000000"/>
          <w:sz w:val="20"/>
          <w:lang w:eastAsia="en-GB"/>
        </w:rPr>
        <w:t>’s policies;</w:t>
      </w:r>
    </w:p>
    <w:p w:rsidR="00972F97" w:rsidRPr="00D51FA6" w:rsidRDefault="00972F97" w:rsidP="007E15FB">
      <w:pPr>
        <w:pStyle w:val="AnnexureHeading3"/>
        <w:spacing w:before="0" w:after="0"/>
        <w:jc w:val="left"/>
        <w:rPr>
          <w:rFonts w:asciiTheme="minorHAnsi" w:hAnsiTheme="minorHAnsi" w:cstheme="minorHAnsi"/>
          <w:sz w:val="20"/>
        </w:rPr>
      </w:pPr>
      <w:r w:rsidRPr="00D51FA6">
        <w:rPr>
          <w:rFonts w:asciiTheme="minorHAnsi" w:hAnsiTheme="minorHAnsi" w:cstheme="minorHAnsi"/>
          <w:color w:val="000000"/>
          <w:sz w:val="20"/>
          <w:lang w:eastAsia="en-GB"/>
        </w:rPr>
        <w:t>protect members of the school community, public and private property; and</w:t>
      </w:r>
    </w:p>
    <w:p w:rsidR="00972F97" w:rsidRPr="007E15FB" w:rsidRDefault="00972F97" w:rsidP="007E15FB">
      <w:pPr>
        <w:pStyle w:val="AnnexureHeading3"/>
        <w:spacing w:before="0" w:after="0"/>
        <w:jc w:val="left"/>
        <w:rPr>
          <w:rFonts w:asciiTheme="minorHAnsi" w:hAnsiTheme="minorHAnsi" w:cstheme="minorHAnsi"/>
          <w:sz w:val="20"/>
        </w:rPr>
      </w:pPr>
      <w:proofErr w:type="gramStart"/>
      <w:r w:rsidRPr="00D51FA6">
        <w:rPr>
          <w:rFonts w:asciiTheme="minorHAnsi" w:hAnsiTheme="minorHAnsi" w:cstheme="minorHAnsi"/>
          <w:color w:val="000000"/>
          <w:sz w:val="20"/>
          <w:lang w:eastAsia="en-GB"/>
        </w:rPr>
        <w:t>assist</w:t>
      </w:r>
      <w:proofErr w:type="gramEnd"/>
      <w:r w:rsidRPr="00D51FA6">
        <w:rPr>
          <w:rFonts w:asciiTheme="minorHAnsi" w:hAnsiTheme="minorHAnsi" w:cstheme="minorHAnsi"/>
          <w:color w:val="000000"/>
          <w:sz w:val="20"/>
          <w:lang w:eastAsia="en-GB"/>
        </w:rPr>
        <w:t xml:space="preserve"> in managing the </w:t>
      </w:r>
      <w:r w:rsidR="00642DAE" w:rsidRPr="00D51FA6">
        <w:rPr>
          <w:rFonts w:asciiTheme="minorHAnsi" w:hAnsiTheme="minorHAnsi" w:cstheme="minorHAnsi"/>
          <w:color w:val="000000"/>
          <w:sz w:val="20"/>
          <w:lang w:eastAsia="en-GB"/>
        </w:rPr>
        <w:t>School</w:t>
      </w:r>
      <w:r w:rsidR="002A797E" w:rsidRPr="00D51FA6">
        <w:rPr>
          <w:rFonts w:asciiTheme="minorHAnsi" w:hAnsiTheme="minorHAnsi" w:cstheme="minorHAnsi"/>
          <w:color w:val="000000"/>
          <w:sz w:val="20"/>
          <w:lang w:eastAsia="en-GB"/>
        </w:rPr>
        <w:t>.</w:t>
      </w:r>
    </w:p>
    <w:p w:rsidR="007E15FB" w:rsidRPr="00D51FA6" w:rsidRDefault="007E15FB" w:rsidP="007E15FB">
      <w:pPr>
        <w:pStyle w:val="AnnexureHeading3"/>
        <w:numPr>
          <w:ilvl w:val="0"/>
          <w:numId w:val="0"/>
        </w:numPr>
        <w:spacing w:before="0" w:after="0"/>
        <w:ind w:left="1701"/>
        <w:jc w:val="left"/>
        <w:rPr>
          <w:rFonts w:asciiTheme="minorHAnsi" w:hAnsiTheme="minorHAnsi" w:cstheme="minorHAnsi"/>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Policy Review</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It is the responsibility of the </w:t>
      </w:r>
      <w:r w:rsidR="00642DAE" w:rsidRPr="00D51FA6">
        <w:rPr>
          <w:rFonts w:asciiTheme="minorHAnsi" w:hAnsiTheme="minorHAnsi" w:cstheme="minorHAnsi"/>
          <w:sz w:val="20"/>
        </w:rPr>
        <w:t>Governing Body</w:t>
      </w:r>
      <w:r w:rsidRPr="00D51FA6">
        <w:rPr>
          <w:rFonts w:asciiTheme="minorHAnsi" w:hAnsiTheme="minorHAnsi" w:cstheme="minorHAnsi"/>
          <w:sz w:val="20"/>
        </w:rPr>
        <w:t xml:space="preserve"> to facilitate the review of this policy on a regular basis. Recommendations for any amendments should be reported to the DPO.</w:t>
      </w:r>
    </w:p>
    <w:p w:rsidR="00972F97"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We will continue to review the effectiveness of this policy to ensure it is achieving its stated objectives.</w:t>
      </w:r>
    </w:p>
    <w:p w:rsidR="007E15FB" w:rsidRPr="00D51FA6" w:rsidRDefault="007E15FB" w:rsidP="007E15FB">
      <w:pPr>
        <w:pStyle w:val="AnnexureHeading2"/>
        <w:numPr>
          <w:ilvl w:val="0"/>
          <w:numId w:val="0"/>
        </w:numPr>
        <w:spacing w:before="0" w:after="0"/>
        <w:ind w:left="851"/>
        <w:jc w:val="left"/>
        <w:rPr>
          <w:rFonts w:asciiTheme="minorHAnsi" w:hAnsiTheme="minorHAnsi" w:cstheme="minorHAnsi"/>
          <w:sz w:val="20"/>
        </w:rPr>
      </w:pPr>
    </w:p>
    <w:p w:rsidR="00972F97" w:rsidRPr="00D51FA6" w:rsidRDefault="00972F97" w:rsidP="007E15FB">
      <w:pPr>
        <w:pStyle w:val="AnnexureHeading1"/>
        <w:spacing w:before="0" w:after="0"/>
        <w:jc w:val="left"/>
        <w:rPr>
          <w:rFonts w:asciiTheme="minorHAnsi" w:hAnsiTheme="minorHAnsi" w:cstheme="minorHAnsi"/>
          <w:b/>
          <w:sz w:val="20"/>
        </w:rPr>
      </w:pPr>
      <w:r w:rsidRPr="00D51FA6">
        <w:rPr>
          <w:rFonts w:asciiTheme="minorHAnsi" w:hAnsiTheme="minorHAnsi" w:cstheme="minorHAnsi"/>
          <w:b/>
          <w:sz w:val="20"/>
        </w:rPr>
        <w:t>Enquiries</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Further information about the School’s Data Protection Policy is available from the DPO.</w:t>
      </w:r>
    </w:p>
    <w:p w:rsidR="00972F97" w:rsidRPr="00D51FA6" w:rsidRDefault="00972F97" w:rsidP="007E15FB">
      <w:pPr>
        <w:pStyle w:val="AnnexureHeading2"/>
        <w:spacing w:before="0" w:after="0"/>
        <w:jc w:val="left"/>
        <w:rPr>
          <w:rFonts w:asciiTheme="minorHAnsi" w:hAnsiTheme="minorHAnsi" w:cstheme="minorHAnsi"/>
          <w:sz w:val="20"/>
        </w:rPr>
      </w:pPr>
      <w:r w:rsidRPr="00D51FA6">
        <w:rPr>
          <w:rFonts w:asciiTheme="minorHAnsi" w:hAnsiTheme="minorHAnsi" w:cstheme="minorHAnsi"/>
          <w:sz w:val="20"/>
        </w:rPr>
        <w:t xml:space="preserve">General information about the Act can be obtained from the Information Commissioner’s Office: </w:t>
      </w:r>
      <w:hyperlink r:id="rId13" w:history="1">
        <w:r w:rsidRPr="00D51FA6">
          <w:rPr>
            <w:rStyle w:val="Hyperlink"/>
            <w:rFonts w:asciiTheme="minorHAnsi" w:hAnsiTheme="minorHAnsi" w:cstheme="minorHAnsi"/>
            <w:sz w:val="20"/>
          </w:rPr>
          <w:t>www.ico.gov.uk</w:t>
        </w:r>
      </w:hyperlink>
      <w:r w:rsidRPr="00D51FA6">
        <w:rPr>
          <w:rFonts w:asciiTheme="minorHAnsi" w:hAnsiTheme="minorHAnsi" w:cstheme="minorHAnsi"/>
          <w:sz w:val="20"/>
        </w:rPr>
        <w:t xml:space="preserve"> </w:t>
      </w:r>
    </w:p>
    <w:p w:rsidR="002A797E" w:rsidRPr="00D51FA6" w:rsidRDefault="002A797E" w:rsidP="007E15FB">
      <w:pPr>
        <w:suppressAutoHyphens w:val="0"/>
        <w:spacing w:before="0" w:after="0"/>
        <w:jc w:val="left"/>
        <w:rPr>
          <w:rFonts w:asciiTheme="minorHAnsi" w:hAnsiTheme="minorHAnsi" w:cstheme="minorHAnsi"/>
          <w:b/>
          <w:sz w:val="20"/>
        </w:rPr>
      </w:pPr>
      <w:r w:rsidRPr="00D51FA6">
        <w:rPr>
          <w:rFonts w:asciiTheme="minorHAnsi" w:hAnsiTheme="minorHAnsi" w:cstheme="minorHAnsi"/>
          <w:b/>
          <w:sz w:val="20"/>
        </w:rPr>
        <w:br w:type="page"/>
      </w:r>
    </w:p>
    <w:p w:rsidR="00972F97" w:rsidRPr="00D51FA6" w:rsidRDefault="00972F97" w:rsidP="007E15FB">
      <w:pPr>
        <w:pStyle w:val="BodyText"/>
        <w:spacing w:before="0" w:after="0"/>
        <w:ind w:left="720" w:hanging="720"/>
        <w:jc w:val="left"/>
        <w:rPr>
          <w:rFonts w:asciiTheme="minorHAnsi" w:hAnsiTheme="minorHAnsi" w:cstheme="minorHAnsi"/>
          <w:sz w:val="20"/>
          <w:szCs w:val="20"/>
        </w:rPr>
      </w:pPr>
      <w:r w:rsidRPr="00D51FA6">
        <w:rPr>
          <w:rFonts w:asciiTheme="minorHAnsi" w:hAnsiTheme="minorHAnsi" w:cstheme="minorHAnsi"/>
          <w:b/>
          <w:sz w:val="20"/>
          <w:szCs w:val="20"/>
        </w:rPr>
        <w:t>Appendix 1 – GDPR Clauses</w:t>
      </w:r>
    </w:p>
    <w:p w:rsidR="00972F97" w:rsidRPr="00D51FA6" w:rsidRDefault="00972F97" w:rsidP="007E15FB">
      <w:pPr>
        <w:pStyle w:val="BodyText"/>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GDPR requires the following matters to be addressed in contracts with Data Processors.  The wording below is a summary of the requirements in the GDPR and is not intended to be used as the drafting to include in contracts with Data Processors.</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may only process Personal Data on the documented instructions of the controller, including as regards international transfers.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a))</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Personnel used by the Processor must be subject to a duty of confidence.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b))</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keep Personal Data secure.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c) Art. 32)</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may only use a sub-processor with the consent of the Data Controller. That consent may be specific to a particular sub-processor or general. Where the consent is general, the processor must inform the controller of changes and give them a chance to object. (Art. 28(2)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d))</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ensure it flows down the GDPR obligations to any sub-processor. The Processor remains responsible for any processing by the sub-processor. (Art. 28(4))</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assist the controller to comply with requests from individuals exercising their rights to access, rectify, erase or object to the processing of their Personal Data.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e))</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assist the Data Controller with their security and data breach obligations, including notifying the Data Controller of any Personal Data breach.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f)) (Art. 33(2))</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assist the Data Controller should the Data Controller need to carry out a privacy impact assessment.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f))</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return or delete Personal Data at the end of the agreement, save to the extent the Processor must keep a copy of the Personal Data under Union or Member State law.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g))</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demonstrate its compliance with these obligations and submit to audits by the Data Controller (or by a third party mandated by the controller). (Art. 28(3</w:t>
      </w:r>
      <w:proofErr w:type="gramStart"/>
      <w:r w:rsidRPr="00D51FA6">
        <w:rPr>
          <w:rFonts w:asciiTheme="minorHAnsi" w:hAnsiTheme="minorHAnsi" w:cstheme="minorHAnsi"/>
          <w:sz w:val="20"/>
          <w:szCs w:val="20"/>
        </w:rPr>
        <w:t>)(</w:t>
      </w:r>
      <w:proofErr w:type="gramEnd"/>
      <w:r w:rsidRPr="00D51FA6">
        <w:rPr>
          <w:rFonts w:asciiTheme="minorHAnsi" w:hAnsiTheme="minorHAnsi" w:cstheme="minorHAnsi"/>
          <w:sz w:val="20"/>
          <w:szCs w:val="20"/>
        </w:rPr>
        <w:t>h))</w:t>
      </w:r>
    </w:p>
    <w:p w:rsidR="00972F97" w:rsidRPr="00D51FA6" w:rsidRDefault="00972F97" w:rsidP="007E15FB">
      <w:pPr>
        <w:pStyle w:val="Heading2"/>
        <w:numPr>
          <w:ilvl w:val="0"/>
          <w:numId w:val="32"/>
        </w:numPr>
        <w:spacing w:before="0" w:after="0"/>
        <w:jc w:val="left"/>
        <w:rPr>
          <w:rFonts w:asciiTheme="minorHAnsi" w:hAnsiTheme="minorHAnsi" w:cstheme="minorHAnsi"/>
          <w:sz w:val="20"/>
          <w:szCs w:val="20"/>
        </w:rPr>
      </w:pPr>
      <w:r w:rsidRPr="00D51FA6">
        <w:rPr>
          <w:rFonts w:asciiTheme="minorHAnsi" w:hAnsiTheme="minorHAnsi" w:cstheme="minorHAnsi"/>
          <w:sz w:val="20"/>
          <w:szCs w:val="20"/>
        </w:rPr>
        <w:t>The Processor must inform the Data Controller if, in its opinion, the Data Controller’s instructions would breach Union or Member State law. (Art. 28(3))</w:t>
      </w:r>
    </w:p>
    <w:p w:rsidR="00972F97" w:rsidRPr="00D51FA6" w:rsidRDefault="00972F97" w:rsidP="007E15FB">
      <w:pPr>
        <w:spacing w:before="0" w:after="0"/>
        <w:jc w:val="left"/>
        <w:rPr>
          <w:rFonts w:asciiTheme="minorHAnsi" w:hAnsiTheme="minorHAnsi" w:cstheme="minorHAnsi"/>
          <w:sz w:val="20"/>
        </w:rPr>
      </w:pPr>
    </w:p>
    <w:p w:rsidR="00CA3143" w:rsidRPr="00D51FA6" w:rsidRDefault="00CA3143" w:rsidP="007E15FB">
      <w:pPr>
        <w:spacing w:before="0" w:after="0"/>
        <w:jc w:val="left"/>
        <w:rPr>
          <w:rFonts w:asciiTheme="minorHAnsi" w:hAnsiTheme="minorHAnsi" w:cstheme="minorHAnsi"/>
          <w:sz w:val="20"/>
        </w:rPr>
      </w:pPr>
    </w:p>
    <w:sectPr w:rsidR="00CA3143" w:rsidRPr="00D51FA6" w:rsidSect="00D51FA6">
      <w:footerReference w:type="default" r:id="rId14"/>
      <w:pgSz w:w="11906" w:h="16838"/>
      <w:pgMar w:top="1440" w:right="1440" w:bottom="1134" w:left="1440"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97" w:rsidRDefault="00972F97" w:rsidP="00972F97">
      <w:pPr>
        <w:spacing w:before="0" w:after="0"/>
      </w:pPr>
      <w:r>
        <w:separator/>
      </w:r>
    </w:p>
  </w:endnote>
  <w:endnote w:type="continuationSeparator" w:id="0">
    <w:p w:rsidR="00972F97" w:rsidRDefault="00972F97" w:rsidP="0097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7E" w:rsidRPr="002A797E" w:rsidRDefault="002A797E">
    <w:pPr>
      <w:pStyle w:val="Footer"/>
      <w:rPr>
        <w:sz w:val="12"/>
      </w:rPr>
    </w:pPr>
    <w:r w:rsidRPr="002A797E">
      <w:rPr>
        <w:sz w:val="12"/>
      </w:rPr>
      <w:t xml:space="preserve">Whitehill Junior School GDPR Policy – </w:t>
    </w:r>
    <w:r w:rsidR="00B35D4D">
      <w:rPr>
        <w:sz w:val="12"/>
      </w:rPr>
      <w:t>June</w:t>
    </w:r>
    <w:r w:rsidR="0073486D">
      <w:rPr>
        <w:sz w:val="12"/>
      </w:rPr>
      <w:t xml:space="preserve"> 2020</w:t>
    </w:r>
  </w:p>
  <w:p w:rsidR="00DB4D51" w:rsidRPr="0040235E" w:rsidRDefault="000C4121" w:rsidP="0040235E">
    <w:pP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97" w:rsidRDefault="00972F97" w:rsidP="00972F97">
      <w:pPr>
        <w:spacing w:before="0" w:after="0"/>
      </w:pPr>
      <w:r>
        <w:separator/>
      </w:r>
    </w:p>
  </w:footnote>
  <w:footnote w:type="continuationSeparator" w:id="0">
    <w:p w:rsidR="00972F97" w:rsidRDefault="00972F97" w:rsidP="00972F97">
      <w:pPr>
        <w:spacing w:before="0" w:after="0"/>
      </w:pPr>
      <w:r>
        <w:continuationSeparator/>
      </w:r>
    </w:p>
  </w:footnote>
  <w:footnote w:id="1">
    <w:p w:rsidR="001F40B8" w:rsidRDefault="001F40B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DD102C"/>
    <w:multiLevelType w:val="hybridMultilevel"/>
    <w:tmpl w:val="1BE6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8"/>
  </w:num>
  <w:num w:numId="9">
    <w:abstractNumId w:val="0"/>
  </w:num>
  <w:num w:numId="10">
    <w:abstractNumId w:val="2"/>
  </w:num>
  <w:num w:numId="11">
    <w:abstractNumId w:val="7"/>
  </w:num>
  <w:num w:numId="12">
    <w:abstractNumId w:val="24"/>
  </w:num>
  <w:num w:numId="13">
    <w:abstractNumId w:val="13"/>
  </w:num>
  <w:num w:numId="14">
    <w:abstractNumId w:val="16"/>
  </w:num>
  <w:num w:numId="15">
    <w:abstractNumId w:val="3"/>
  </w:num>
  <w:num w:numId="16">
    <w:abstractNumId w:val="21"/>
  </w:num>
  <w:num w:numId="17">
    <w:abstractNumId w:val="9"/>
  </w:num>
  <w:num w:numId="18">
    <w:abstractNumId w:val="23"/>
  </w:num>
  <w:num w:numId="19">
    <w:abstractNumId w:val="22"/>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7"/>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97"/>
    <w:rsid w:val="00044715"/>
    <w:rsid w:val="00093DFA"/>
    <w:rsid w:val="000A4C5E"/>
    <w:rsid w:val="000C4121"/>
    <w:rsid w:val="000E3933"/>
    <w:rsid w:val="001258C0"/>
    <w:rsid w:val="00156E7E"/>
    <w:rsid w:val="001F40B8"/>
    <w:rsid w:val="00205F1F"/>
    <w:rsid w:val="00222B97"/>
    <w:rsid w:val="002832D5"/>
    <w:rsid w:val="002A797E"/>
    <w:rsid w:val="0034611C"/>
    <w:rsid w:val="0038185D"/>
    <w:rsid w:val="003A7FF6"/>
    <w:rsid w:val="003D20AE"/>
    <w:rsid w:val="003D33DF"/>
    <w:rsid w:val="003D4EB3"/>
    <w:rsid w:val="00400C3F"/>
    <w:rsid w:val="00436711"/>
    <w:rsid w:val="00442291"/>
    <w:rsid w:val="00461C2E"/>
    <w:rsid w:val="00473C08"/>
    <w:rsid w:val="004757D6"/>
    <w:rsid w:val="004A7D9D"/>
    <w:rsid w:val="004D325B"/>
    <w:rsid w:val="004F62BE"/>
    <w:rsid w:val="00534E94"/>
    <w:rsid w:val="00540097"/>
    <w:rsid w:val="005B7C00"/>
    <w:rsid w:val="005C2EE2"/>
    <w:rsid w:val="005D49C5"/>
    <w:rsid w:val="005D5511"/>
    <w:rsid w:val="005F1770"/>
    <w:rsid w:val="005F7821"/>
    <w:rsid w:val="00613B4D"/>
    <w:rsid w:val="00642DAE"/>
    <w:rsid w:val="0065232C"/>
    <w:rsid w:val="00654719"/>
    <w:rsid w:val="0069336F"/>
    <w:rsid w:val="006A5556"/>
    <w:rsid w:val="006B33C0"/>
    <w:rsid w:val="006D5171"/>
    <w:rsid w:val="006E534E"/>
    <w:rsid w:val="006F5294"/>
    <w:rsid w:val="0071406E"/>
    <w:rsid w:val="00721269"/>
    <w:rsid w:val="00723B45"/>
    <w:rsid w:val="00724ECF"/>
    <w:rsid w:val="0073486D"/>
    <w:rsid w:val="00784DF0"/>
    <w:rsid w:val="0079587E"/>
    <w:rsid w:val="007E15FB"/>
    <w:rsid w:val="00800AD0"/>
    <w:rsid w:val="00805A0D"/>
    <w:rsid w:val="00835AEA"/>
    <w:rsid w:val="00856AAB"/>
    <w:rsid w:val="00972F97"/>
    <w:rsid w:val="0097588B"/>
    <w:rsid w:val="009F3B02"/>
    <w:rsid w:val="009F61DD"/>
    <w:rsid w:val="00A15310"/>
    <w:rsid w:val="00A32A34"/>
    <w:rsid w:val="00B17256"/>
    <w:rsid w:val="00B35D4D"/>
    <w:rsid w:val="00B611C2"/>
    <w:rsid w:val="00BA3893"/>
    <w:rsid w:val="00BB05CE"/>
    <w:rsid w:val="00BB7728"/>
    <w:rsid w:val="00BF109E"/>
    <w:rsid w:val="00C46677"/>
    <w:rsid w:val="00C7377E"/>
    <w:rsid w:val="00C87FAE"/>
    <w:rsid w:val="00CA25AD"/>
    <w:rsid w:val="00CA3143"/>
    <w:rsid w:val="00CB53A4"/>
    <w:rsid w:val="00CE10B4"/>
    <w:rsid w:val="00CE1C99"/>
    <w:rsid w:val="00D24AAD"/>
    <w:rsid w:val="00D44AC3"/>
    <w:rsid w:val="00D51FA6"/>
    <w:rsid w:val="00D70D88"/>
    <w:rsid w:val="00D91222"/>
    <w:rsid w:val="00DC29BD"/>
    <w:rsid w:val="00DE24E8"/>
    <w:rsid w:val="00E02C6F"/>
    <w:rsid w:val="00E24BA0"/>
    <w:rsid w:val="00E25702"/>
    <w:rsid w:val="00E52F83"/>
    <w:rsid w:val="00E53EAF"/>
    <w:rsid w:val="00E70073"/>
    <w:rsid w:val="00E81D86"/>
    <w:rsid w:val="00E93C54"/>
    <w:rsid w:val="00F07529"/>
    <w:rsid w:val="00F60F83"/>
    <w:rsid w:val="00F86C53"/>
    <w:rsid w:val="00F91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DE0B7"/>
  <w15:docId w15:val="{3E0F1BFD-0138-41C5-B41C-F026CC82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2.xml><?xml version="1.0" encoding="utf-8"?>
<ds:datastoreItem xmlns:ds="http://schemas.openxmlformats.org/officeDocument/2006/customXml" ds:itemID="{71917456-FF24-492F-955B-1F458B3B30B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161ba28-e53c-4fda-979b-1d6712097de7"/>
    <ds:schemaRef ds:uri="http://www.w3.org/XML/1998/namespace"/>
  </ds:schemaRefs>
</ds:datastoreItem>
</file>

<file path=customXml/itemProps3.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4.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09F4EB-CCCB-4951-B32B-F559CDA2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Example - GDPR Policy for Maintained Schools</vt:lpstr>
    </vt:vector>
  </TitlesOfParts>
  <Company>SCCM</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Maintained Schools</dc:title>
  <dc:subject>Example - GDPR Policy for Maintained Schools</dc:subject>
  <dc:creator>WS</dc:creator>
  <cp:keywords/>
  <dc:description/>
  <cp:lastModifiedBy>Steve Mills</cp:lastModifiedBy>
  <cp:revision>3</cp:revision>
  <cp:lastPrinted>2018-06-22T09:32:00Z</cp:lastPrinted>
  <dcterms:created xsi:type="dcterms:W3CDTF">2020-07-02T08:18:00Z</dcterms:created>
  <dcterms:modified xsi:type="dcterms:W3CDTF">2022-06-23T12:44:00Z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